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400" w:lineRule="exact"/>
        <w:ind w:firstLine="482" w:firstLineChars="200"/>
        <w:jc w:val="left"/>
        <w:rPr>
          <w:rFonts w:ascii="宋体" w:hAnsi="宋体" w:cs="宋体"/>
          <w:b/>
          <w:bCs/>
          <w:sz w:val="24"/>
          <w:szCs w:val="18"/>
        </w:rPr>
      </w:pPr>
      <w:r>
        <w:rPr>
          <w:rFonts w:hint="eastAsia" w:ascii="宋体" w:hAnsi="宋体" w:cs="宋体"/>
          <w:b/>
          <w:bCs/>
          <w:sz w:val="24"/>
          <w:szCs w:val="18"/>
        </w:rPr>
        <w:t>一、项目名称及内容</w:t>
      </w:r>
    </w:p>
    <w:p>
      <w:pPr>
        <w:autoSpaceDE w:val="0"/>
        <w:autoSpaceDN w:val="0"/>
        <w:adjustRightInd w:val="0"/>
        <w:spacing w:line="400" w:lineRule="exact"/>
        <w:ind w:firstLine="480" w:firstLineChars="200"/>
        <w:jc w:val="left"/>
        <w:rPr>
          <w:rFonts w:ascii="宋体" w:hAnsi="宋体" w:cs="宋体"/>
          <w:sz w:val="24"/>
          <w:szCs w:val="18"/>
        </w:rPr>
      </w:pPr>
      <w:r>
        <w:rPr>
          <w:rFonts w:hint="eastAsia" w:ascii="宋体" w:hAnsi="宋体" w:cs="宋体"/>
          <w:sz w:val="24"/>
          <w:szCs w:val="18"/>
        </w:rPr>
        <w:t>1、项目编号：ZB201804102</w:t>
      </w:r>
    </w:p>
    <w:p>
      <w:pPr>
        <w:autoSpaceDE w:val="0"/>
        <w:autoSpaceDN w:val="0"/>
        <w:adjustRightInd w:val="0"/>
        <w:spacing w:line="400" w:lineRule="exact"/>
        <w:ind w:firstLine="480" w:firstLineChars="200"/>
        <w:jc w:val="left"/>
        <w:rPr>
          <w:rFonts w:ascii="宋体" w:hAnsi="宋体" w:cs="宋体"/>
          <w:sz w:val="24"/>
          <w:szCs w:val="18"/>
        </w:rPr>
      </w:pPr>
      <w:r>
        <w:rPr>
          <w:rFonts w:hint="eastAsia" w:ascii="宋体" w:hAnsi="宋体" w:cs="宋体"/>
          <w:sz w:val="24"/>
          <w:szCs w:val="18"/>
        </w:rPr>
        <w:t>2、项目名称：池州学院食堂委托经营项目</w:t>
      </w:r>
    </w:p>
    <w:p>
      <w:pPr>
        <w:autoSpaceDE w:val="0"/>
        <w:autoSpaceDN w:val="0"/>
        <w:adjustRightInd w:val="0"/>
        <w:spacing w:line="400" w:lineRule="exact"/>
        <w:ind w:firstLine="480" w:firstLineChars="200"/>
        <w:jc w:val="left"/>
        <w:rPr>
          <w:rFonts w:ascii="宋体" w:hAnsi="宋体" w:cs="宋体"/>
          <w:sz w:val="24"/>
          <w:szCs w:val="18"/>
        </w:rPr>
      </w:pPr>
      <w:r>
        <w:rPr>
          <w:rFonts w:hint="eastAsia" w:ascii="宋体" w:hAnsi="宋体" w:cs="宋体"/>
          <w:sz w:val="24"/>
          <w:szCs w:val="18"/>
        </w:rPr>
        <w:t>3、项目单位：池州学院</w:t>
      </w:r>
      <w:bookmarkStart w:id="16" w:name="_GoBack"/>
      <w:bookmarkEnd w:id="16"/>
    </w:p>
    <w:p>
      <w:pPr>
        <w:autoSpaceDE w:val="0"/>
        <w:autoSpaceDN w:val="0"/>
        <w:adjustRightInd w:val="0"/>
        <w:spacing w:line="400" w:lineRule="exact"/>
        <w:ind w:firstLine="480" w:firstLineChars="200"/>
        <w:jc w:val="left"/>
        <w:rPr>
          <w:rFonts w:ascii="宋体" w:hAnsi="宋体" w:cs="宋体"/>
          <w:sz w:val="24"/>
          <w:szCs w:val="18"/>
        </w:rPr>
      </w:pPr>
      <w:r>
        <w:rPr>
          <w:rFonts w:hint="eastAsia" w:ascii="宋体" w:hAnsi="宋体" w:cs="宋体"/>
          <w:sz w:val="24"/>
          <w:szCs w:val="18"/>
        </w:rPr>
        <w:t>4、</w:t>
      </w:r>
      <w:r>
        <w:rPr>
          <w:rFonts w:hint="eastAsia" w:ascii="宋体" w:hAnsi="宋体" w:cs="宋体"/>
          <w:sz w:val="24"/>
        </w:rPr>
        <w:t>资金来源：其他</w:t>
      </w:r>
    </w:p>
    <w:p>
      <w:pPr>
        <w:autoSpaceDE w:val="0"/>
        <w:autoSpaceDN w:val="0"/>
        <w:adjustRightInd w:val="0"/>
        <w:spacing w:line="400" w:lineRule="exact"/>
        <w:ind w:firstLine="480" w:firstLineChars="200"/>
        <w:jc w:val="left"/>
        <w:rPr>
          <w:rFonts w:ascii="宋体" w:hAnsi="宋体" w:cs="宋体"/>
          <w:sz w:val="24"/>
          <w:szCs w:val="18"/>
        </w:rPr>
      </w:pPr>
      <w:r>
        <w:rPr>
          <w:rFonts w:hint="eastAsia" w:ascii="宋体" w:hAnsi="宋体" w:cs="宋体"/>
          <w:sz w:val="24"/>
          <w:szCs w:val="18"/>
        </w:rPr>
        <w:t>5、项目预算：无</w:t>
      </w:r>
    </w:p>
    <w:p>
      <w:pPr>
        <w:autoSpaceDE w:val="0"/>
        <w:autoSpaceDN w:val="0"/>
        <w:adjustRightInd w:val="0"/>
        <w:spacing w:line="400" w:lineRule="exact"/>
        <w:ind w:firstLine="480" w:firstLineChars="200"/>
        <w:jc w:val="left"/>
        <w:rPr>
          <w:rFonts w:ascii="宋体" w:hAnsi="宋体" w:cs="宋体"/>
          <w:sz w:val="24"/>
          <w:szCs w:val="18"/>
        </w:rPr>
      </w:pPr>
      <w:r>
        <w:rPr>
          <w:rFonts w:hint="eastAsia" w:ascii="宋体" w:hAnsi="宋体" w:cs="宋体"/>
          <w:sz w:val="24"/>
          <w:szCs w:val="18"/>
        </w:rPr>
        <w:t>6、最高限价：无</w:t>
      </w:r>
    </w:p>
    <w:p>
      <w:pPr>
        <w:autoSpaceDE w:val="0"/>
        <w:autoSpaceDN w:val="0"/>
        <w:adjustRightInd w:val="0"/>
        <w:spacing w:line="400" w:lineRule="exact"/>
        <w:ind w:firstLine="480" w:firstLineChars="200"/>
        <w:jc w:val="left"/>
        <w:rPr>
          <w:rFonts w:ascii="宋体" w:hAnsi="宋体" w:cs="宋体"/>
          <w:sz w:val="24"/>
          <w:szCs w:val="18"/>
        </w:rPr>
      </w:pPr>
      <w:r>
        <w:rPr>
          <w:rFonts w:hint="eastAsia" w:ascii="宋体" w:hAnsi="宋体" w:cs="宋体"/>
          <w:sz w:val="24"/>
          <w:szCs w:val="18"/>
        </w:rPr>
        <w:t>7、包别划分：本项目共分四个包。第1包为池州学院一食堂餐饮服务；第2包为池州学院二食堂餐饮服务；第3包为池州学院三食堂(含教工食堂)餐饮服务，第4包为池州学院四食堂餐饮服务。投标供应商可选择一个或多个包进行投标，并且最多可以作为其中一个包的第一中标候选人，具体详见招标文件。</w:t>
      </w:r>
    </w:p>
    <w:p>
      <w:pPr>
        <w:autoSpaceDE w:val="0"/>
        <w:autoSpaceDN w:val="0"/>
        <w:adjustRightInd w:val="0"/>
        <w:spacing w:line="400" w:lineRule="exact"/>
        <w:ind w:firstLine="482" w:firstLineChars="200"/>
        <w:jc w:val="left"/>
        <w:rPr>
          <w:rFonts w:hint="eastAsia" w:ascii="宋体" w:hAnsi="宋体" w:cs="宋体"/>
          <w:b/>
          <w:bCs/>
          <w:sz w:val="24"/>
          <w:szCs w:val="18"/>
        </w:rPr>
      </w:pPr>
    </w:p>
    <w:p>
      <w:pPr>
        <w:autoSpaceDE w:val="0"/>
        <w:autoSpaceDN w:val="0"/>
        <w:adjustRightInd w:val="0"/>
        <w:spacing w:line="400" w:lineRule="exact"/>
        <w:ind w:firstLine="482" w:firstLineChars="200"/>
        <w:jc w:val="left"/>
        <w:rPr>
          <w:rFonts w:ascii="宋体" w:hAnsi="宋体" w:cs="宋体"/>
          <w:sz w:val="24"/>
          <w:szCs w:val="18"/>
        </w:rPr>
      </w:pPr>
      <w:r>
        <w:rPr>
          <w:rFonts w:hint="eastAsia" w:ascii="宋体" w:hAnsi="宋体" w:cs="宋体"/>
          <w:b/>
          <w:bCs/>
          <w:sz w:val="24"/>
          <w:szCs w:val="18"/>
        </w:rPr>
        <w:t>二、投标供应商资格</w:t>
      </w:r>
    </w:p>
    <w:p>
      <w:pPr>
        <w:autoSpaceDE w:val="0"/>
        <w:autoSpaceDN w:val="0"/>
        <w:adjustRightInd w:val="0"/>
        <w:spacing w:line="400" w:lineRule="exact"/>
        <w:ind w:firstLine="480" w:firstLineChars="200"/>
        <w:jc w:val="left"/>
        <w:rPr>
          <w:rFonts w:ascii="宋体" w:hAnsi="宋体" w:cs="宋体"/>
          <w:sz w:val="24"/>
          <w:szCs w:val="18"/>
        </w:rPr>
      </w:pPr>
      <w:r>
        <w:rPr>
          <w:rFonts w:hint="eastAsia" w:ascii="宋体" w:hAnsi="宋体" w:cs="宋体"/>
          <w:sz w:val="24"/>
          <w:szCs w:val="18"/>
        </w:rPr>
        <w:t>1、符合《中华人民共和国政府采购法》第二十二条规定；</w:t>
      </w:r>
    </w:p>
    <w:p>
      <w:pPr>
        <w:autoSpaceDE w:val="0"/>
        <w:autoSpaceDN w:val="0"/>
        <w:adjustRightInd w:val="0"/>
        <w:spacing w:line="400" w:lineRule="exact"/>
        <w:ind w:firstLine="480" w:firstLineChars="200"/>
        <w:jc w:val="left"/>
        <w:rPr>
          <w:rFonts w:ascii="宋体" w:hAnsi="宋体" w:cs="宋体"/>
          <w:sz w:val="24"/>
          <w:szCs w:val="18"/>
        </w:rPr>
      </w:pPr>
      <w:r>
        <w:rPr>
          <w:rFonts w:hint="eastAsia" w:ascii="宋体" w:hAnsi="宋体" w:cs="宋体"/>
          <w:sz w:val="24"/>
          <w:szCs w:val="18"/>
        </w:rPr>
        <w:t>2、供应商须具备有效的《餐饮服务许可证》；</w:t>
      </w:r>
    </w:p>
    <w:p>
      <w:pPr>
        <w:autoSpaceDE w:val="0"/>
        <w:autoSpaceDN w:val="0"/>
        <w:adjustRightInd w:val="0"/>
        <w:spacing w:line="400" w:lineRule="exact"/>
        <w:ind w:firstLine="480" w:firstLineChars="200"/>
        <w:jc w:val="left"/>
        <w:rPr>
          <w:rFonts w:ascii="宋体" w:hAnsi="宋体" w:cs="宋体"/>
          <w:sz w:val="24"/>
          <w:szCs w:val="18"/>
        </w:rPr>
      </w:pPr>
      <w:r>
        <w:rPr>
          <w:rFonts w:hint="eastAsia" w:ascii="宋体" w:hAnsi="宋体" w:cs="宋体"/>
          <w:sz w:val="24"/>
          <w:szCs w:val="18"/>
        </w:rPr>
        <w:t>3、供应商存在以下不良信用记录情形之一的，不得推荐中标候选人，不得确定为中标供应商：</w:t>
      </w:r>
    </w:p>
    <w:p>
      <w:pPr>
        <w:autoSpaceDE w:val="0"/>
        <w:autoSpaceDN w:val="0"/>
        <w:adjustRightInd w:val="0"/>
        <w:spacing w:line="400" w:lineRule="exact"/>
        <w:ind w:firstLine="480" w:firstLineChars="200"/>
        <w:jc w:val="left"/>
        <w:rPr>
          <w:rFonts w:ascii="宋体" w:hAnsi="宋体" w:cs="宋体"/>
          <w:sz w:val="24"/>
          <w:szCs w:val="18"/>
        </w:rPr>
      </w:pPr>
      <w:r>
        <w:rPr>
          <w:rFonts w:hint="eastAsia" w:ascii="宋体" w:hAnsi="宋体" w:cs="宋体"/>
          <w:sz w:val="24"/>
          <w:szCs w:val="18"/>
        </w:rPr>
        <w:t>（1）供应商被人民法院列入失信被执行人的：</w:t>
      </w:r>
    </w:p>
    <w:p>
      <w:pPr>
        <w:autoSpaceDE w:val="0"/>
        <w:autoSpaceDN w:val="0"/>
        <w:adjustRightInd w:val="0"/>
        <w:spacing w:line="400" w:lineRule="exact"/>
        <w:ind w:firstLine="480" w:firstLineChars="200"/>
        <w:jc w:val="left"/>
        <w:rPr>
          <w:rFonts w:ascii="宋体" w:hAnsi="宋体" w:cs="宋体"/>
          <w:sz w:val="24"/>
          <w:szCs w:val="18"/>
        </w:rPr>
      </w:pPr>
      <w:r>
        <w:rPr>
          <w:rFonts w:hint="eastAsia" w:ascii="宋体" w:hAnsi="宋体" w:cs="宋体"/>
          <w:sz w:val="24"/>
          <w:szCs w:val="18"/>
        </w:rPr>
        <w:t>（2）供应商或其法定代表人或拟派项目经理被人民检察院列入行贿犯罪档案的；</w:t>
      </w:r>
    </w:p>
    <w:p>
      <w:pPr>
        <w:autoSpaceDE w:val="0"/>
        <w:autoSpaceDN w:val="0"/>
        <w:adjustRightInd w:val="0"/>
        <w:spacing w:line="400" w:lineRule="exact"/>
        <w:ind w:firstLine="480" w:firstLineChars="200"/>
        <w:jc w:val="left"/>
        <w:rPr>
          <w:rFonts w:ascii="宋体" w:hAnsi="宋体" w:cs="宋体"/>
          <w:sz w:val="24"/>
          <w:szCs w:val="18"/>
        </w:rPr>
      </w:pPr>
      <w:r>
        <w:rPr>
          <w:rFonts w:hint="eastAsia" w:ascii="宋体" w:hAnsi="宋体" w:cs="宋体"/>
          <w:sz w:val="24"/>
          <w:szCs w:val="18"/>
        </w:rPr>
        <w:t>（3）供应商被工商行政管理部门列入企业经营异常名录的；</w:t>
      </w:r>
    </w:p>
    <w:p>
      <w:pPr>
        <w:autoSpaceDE w:val="0"/>
        <w:autoSpaceDN w:val="0"/>
        <w:adjustRightInd w:val="0"/>
        <w:spacing w:line="400" w:lineRule="exact"/>
        <w:ind w:firstLine="480" w:firstLineChars="200"/>
        <w:jc w:val="left"/>
        <w:rPr>
          <w:rFonts w:ascii="宋体" w:hAnsi="宋体" w:cs="宋体"/>
          <w:sz w:val="24"/>
          <w:szCs w:val="18"/>
        </w:rPr>
      </w:pPr>
      <w:r>
        <w:rPr>
          <w:rFonts w:hint="eastAsia" w:ascii="宋体" w:hAnsi="宋体" w:cs="宋体"/>
          <w:sz w:val="24"/>
          <w:szCs w:val="18"/>
        </w:rPr>
        <w:t>（4）供应商被税务部门列为重大税收违法案件当事人名单的；</w:t>
      </w:r>
    </w:p>
    <w:p>
      <w:pPr>
        <w:autoSpaceDE w:val="0"/>
        <w:autoSpaceDN w:val="0"/>
        <w:adjustRightInd w:val="0"/>
        <w:spacing w:line="400" w:lineRule="exact"/>
        <w:ind w:firstLine="480" w:firstLineChars="200"/>
        <w:jc w:val="left"/>
        <w:rPr>
          <w:rFonts w:ascii="宋体" w:hAnsi="宋体" w:cs="宋体"/>
          <w:sz w:val="24"/>
          <w:szCs w:val="18"/>
        </w:rPr>
      </w:pPr>
      <w:r>
        <w:rPr>
          <w:rFonts w:hint="eastAsia" w:ascii="宋体" w:hAnsi="宋体" w:cs="宋体"/>
          <w:sz w:val="24"/>
          <w:szCs w:val="18"/>
        </w:rPr>
        <w:t>（5）供应商被政府采购监管部门列入政府采购严重违法失信行为记录名单的。</w:t>
      </w:r>
    </w:p>
    <w:p>
      <w:pPr>
        <w:autoSpaceDE w:val="0"/>
        <w:autoSpaceDN w:val="0"/>
        <w:adjustRightInd w:val="0"/>
        <w:spacing w:line="400" w:lineRule="exact"/>
        <w:ind w:firstLine="480" w:firstLineChars="200"/>
        <w:jc w:val="left"/>
        <w:rPr>
          <w:rFonts w:ascii="宋体" w:hAnsi="宋体" w:cs="宋体"/>
          <w:sz w:val="24"/>
          <w:szCs w:val="18"/>
        </w:rPr>
      </w:pPr>
      <w:r>
        <w:rPr>
          <w:rFonts w:hint="eastAsia" w:ascii="宋体" w:hAnsi="宋体" w:cs="宋体"/>
          <w:sz w:val="24"/>
          <w:szCs w:val="18"/>
        </w:rPr>
        <w:t>4、本项目不接受联合体投标。</w:t>
      </w:r>
    </w:p>
    <w:p>
      <w:pPr>
        <w:pStyle w:val="3"/>
        <w:spacing w:line="0" w:lineRule="atLeast"/>
        <w:ind w:firstLine="0"/>
        <w:rPr>
          <w:rFonts w:eastAsia="宋体" w:cs="Arial"/>
        </w:rPr>
      </w:pPr>
      <w:bookmarkStart w:id="0" w:name="_Hlt510343011"/>
      <w:bookmarkStart w:id="1" w:name="_Hlt510342998"/>
      <w:bookmarkStart w:id="2" w:name="_Toc418935906"/>
      <w:bookmarkStart w:id="3" w:name="_Toc27865"/>
      <w:r>
        <w:rPr>
          <w:rFonts w:hint="eastAsia" w:eastAsia="宋体" w:cs="Arial"/>
        </w:rPr>
        <w:t>供应商</w:t>
      </w:r>
      <w:r>
        <w:rPr>
          <w:rFonts w:eastAsia="宋体" w:cs="Arial"/>
        </w:rPr>
        <w:t>须</w:t>
      </w:r>
      <w:bookmarkEnd w:id="0"/>
      <w:r>
        <w:rPr>
          <w:rFonts w:eastAsia="宋体" w:cs="Arial"/>
        </w:rPr>
        <w:t>知前</w:t>
      </w:r>
      <w:bookmarkEnd w:id="1"/>
      <w:r>
        <w:rPr>
          <w:rFonts w:eastAsia="宋体" w:cs="Arial"/>
        </w:rPr>
        <w:t>附表</w:t>
      </w:r>
      <w:bookmarkEnd w:id="2"/>
      <w:bookmarkEnd w:id="3"/>
    </w:p>
    <w:tbl>
      <w:tblPr>
        <w:tblStyle w:val="65"/>
        <w:tblW w:w="934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6"/>
        <w:gridCol w:w="2124"/>
        <w:gridCol w:w="6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02" w:hRule="atLeast"/>
        </w:trPr>
        <w:tc>
          <w:tcPr>
            <w:tcW w:w="866" w:type="dxa"/>
            <w:vAlign w:val="center"/>
          </w:tcPr>
          <w:p>
            <w:pPr>
              <w:spacing w:line="0" w:lineRule="atLeast"/>
              <w:jc w:val="center"/>
              <w:rPr>
                <w:rFonts w:ascii="宋体" w:hAnsi="宋体" w:cs="宋体"/>
                <w:b/>
                <w:sz w:val="24"/>
                <w:szCs w:val="24"/>
              </w:rPr>
            </w:pPr>
            <w:r>
              <w:rPr>
                <w:rFonts w:hint="eastAsia" w:ascii="宋体" w:hAnsi="宋体" w:cs="宋体"/>
                <w:b/>
                <w:sz w:val="24"/>
                <w:szCs w:val="24"/>
              </w:rPr>
              <w:t>序号</w:t>
            </w:r>
          </w:p>
        </w:tc>
        <w:tc>
          <w:tcPr>
            <w:tcW w:w="2124" w:type="dxa"/>
            <w:vAlign w:val="center"/>
          </w:tcPr>
          <w:p>
            <w:pPr>
              <w:spacing w:line="0" w:lineRule="atLeast"/>
              <w:jc w:val="center"/>
              <w:rPr>
                <w:rFonts w:ascii="宋体" w:hAnsi="宋体" w:cs="宋体"/>
                <w:b/>
                <w:sz w:val="24"/>
                <w:szCs w:val="24"/>
              </w:rPr>
            </w:pPr>
            <w:r>
              <w:rPr>
                <w:rFonts w:hint="eastAsia" w:ascii="宋体" w:hAnsi="宋体" w:cs="宋体"/>
                <w:b/>
                <w:sz w:val="24"/>
                <w:szCs w:val="24"/>
              </w:rPr>
              <w:t>内容</w:t>
            </w:r>
          </w:p>
        </w:tc>
        <w:tc>
          <w:tcPr>
            <w:tcW w:w="6355" w:type="dxa"/>
            <w:vAlign w:val="center"/>
          </w:tcPr>
          <w:p>
            <w:pPr>
              <w:pStyle w:val="157"/>
              <w:widowControl w:val="0"/>
              <w:spacing w:before="0" w:beforeAutospacing="0" w:after="0" w:afterAutospacing="0" w:line="0" w:lineRule="atLeast"/>
              <w:rPr>
                <w:rFonts w:cs="宋体"/>
                <w:bCs w:val="0"/>
                <w:kern w:val="2"/>
                <w:sz w:val="24"/>
                <w:szCs w:val="24"/>
              </w:rPr>
            </w:pPr>
            <w:r>
              <w:rPr>
                <w:rFonts w:hint="eastAsia" w:cs="宋体"/>
                <w:bCs w:val="0"/>
                <w:kern w:val="2"/>
                <w:sz w:val="24"/>
                <w:szCs w:val="24"/>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66" w:type="dxa"/>
            <w:vAlign w:val="center"/>
          </w:tcPr>
          <w:p>
            <w:pPr>
              <w:pStyle w:val="140"/>
              <w:numPr>
                <w:ilvl w:val="0"/>
                <w:numId w:val="1"/>
              </w:numPr>
              <w:pBdr>
                <w:bottom w:val="none" w:color="auto" w:sz="0" w:space="0"/>
              </w:pBdr>
              <w:tabs>
                <w:tab w:val="clear" w:pos="4153"/>
                <w:tab w:val="clear" w:pos="8306"/>
              </w:tabs>
              <w:adjustRightInd/>
              <w:spacing w:line="0" w:lineRule="atLeast"/>
              <w:textAlignment w:val="auto"/>
              <w:rPr>
                <w:rFonts w:ascii="宋体" w:hAnsi="宋体" w:cs="宋体"/>
                <w:bCs/>
                <w:kern w:val="2"/>
                <w:szCs w:val="24"/>
              </w:rPr>
            </w:pPr>
          </w:p>
        </w:tc>
        <w:tc>
          <w:tcPr>
            <w:tcW w:w="2124" w:type="dxa"/>
            <w:vAlign w:val="center"/>
          </w:tcPr>
          <w:p>
            <w:pPr>
              <w:spacing w:line="0" w:lineRule="atLeast"/>
              <w:jc w:val="center"/>
              <w:rPr>
                <w:rFonts w:ascii="宋体" w:hAnsi="宋体" w:cs="宋体"/>
                <w:bCs/>
                <w:sz w:val="24"/>
                <w:szCs w:val="24"/>
              </w:rPr>
            </w:pPr>
            <w:r>
              <w:rPr>
                <w:rFonts w:hint="eastAsia" w:ascii="宋体" w:hAnsi="宋体" w:cs="宋体"/>
                <w:bCs/>
                <w:sz w:val="24"/>
                <w:szCs w:val="24"/>
              </w:rPr>
              <w:t>采购人</w:t>
            </w:r>
          </w:p>
        </w:tc>
        <w:tc>
          <w:tcPr>
            <w:tcW w:w="6355" w:type="dxa"/>
            <w:vAlign w:val="center"/>
          </w:tcPr>
          <w:p>
            <w:pPr>
              <w:pStyle w:val="157"/>
              <w:widowControl w:val="0"/>
              <w:spacing w:before="0" w:beforeAutospacing="0" w:after="0" w:afterAutospacing="0" w:line="0" w:lineRule="atLeast"/>
              <w:jc w:val="both"/>
              <w:rPr>
                <w:rFonts w:cs="宋体"/>
                <w:b w:val="0"/>
                <w:bCs w:val="0"/>
                <w:kern w:val="2"/>
                <w:sz w:val="24"/>
                <w:szCs w:val="24"/>
              </w:rPr>
            </w:pPr>
            <w:r>
              <w:rPr>
                <w:rFonts w:hint="eastAsia" w:cs="宋体"/>
                <w:b w:val="0"/>
                <w:bCs w:val="0"/>
                <w:sz w:val="24"/>
                <w:szCs w:val="24"/>
              </w:rPr>
              <w:t>池州学院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66" w:type="dxa"/>
            <w:vAlign w:val="center"/>
          </w:tcPr>
          <w:p>
            <w:pPr>
              <w:pStyle w:val="140"/>
              <w:numPr>
                <w:ilvl w:val="0"/>
                <w:numId w:val="1"/>
              </w:numPr>
              <w:pBdr>
                <w:bottom w:val="none" w:color="auto" w:sz="0" w:space="0"/>
              </w:pBdr>
              <w:tabs>
                <w:tab w:val="clear" w:pos="4153"/>
                <w:tab w:val="clear" w:pos="8306"/>
              </w:tabs>
              <w:adjustRightInd/>
              <w:spacing w:line="0" w:lineRule="atLeast"/>
              <w:textAlignment w:val="auto"/>
              <w:rPr>
                <w:rFonts w:ascii="宋体" w:hAnsi="宋体" w:cs="宋体"/>
                <w:bCs/>
                <w:kern w:val="2"/>
                <w:szCs w:val="24"/>
              </w:rPr>
            </w:pPr>
          </w:p>
        </w:tc>
        <w:tc>
          <w:tcPr>
            <w:tcW w:w="2124" w:type="dxa"/>
            <w:vAlign w:val="center"/>
          </w:tcPr>
          <w:p>
            <w:pPr>
              <w:spacing w:line="0" w:lineRule="atLeast"/>
              <w:jc w:val="center"/>
              <w:rPr>
                <w:rFonts w:ascii="宋体" w:hAnsi="宋体" w:cs="宋体"/>
                <w:bCs/>
                <w:sz w:val="24"/>
                <w:szCs w:val="24"/>
              </w:rPr>
            </w:pPr>
            <w:r>
              <w:rPr>
                <w:rFonts w:hint="eastAsia" w:ascii="宋体" w:hAnsi="宋体" w:cs="宋体"/>
                <w:bCs/>
                <w:sz w:val="24"/>
                <w:szCs w:val="24"/>
              </w:rPr>
              <w:t>委托人</w:t>
            </w:r>
          </w:p>
        </w:tc>
        <w:tc>
          <w:tcPr>
            <w:tcW w:w="6355" w:type="dxa"/>
            <w:vAlign w:val="center"/>
          </w:tcPr>
          <w:p>
            <w:pPr>
              <w:pStyle w:val="157"/>
              <w:widowControl w:val="0"/>
              <w:spacing w:before="0" w:beforeAutospacing="0" w:after="0" w:afterAutospacing="0" w:line="0" w:lineRule="atLeast"/>
              <w:jc w:val="both"/>
              <w:rPr>
                <w:rFonts w:cs="宋体"/>
                <w:b w:val="0"/>
                <w:bCs w:val="0"/>
                <w:sz w:val="24"/>
                <w:szCs w:val="24"/>
              </w:rPr>
            </w:pPr>
            <w:r>
              <w:rPr>
                <w:rFonts w:hint="eastAsia" w:cs="宋体"/>
                <w:b w:val="0"/>
                <w:bCs w:val="0"/>
                <w:sz w:val="24"/>
                <w:szCs w:val="24"/>
              </w:rPr>
              <w:t>池州学院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66" w:type="dxa"/>
            <w:vAlign w:val="center"/>
          </w:tcPr>
          <w:p>
            <w:pPr>
              <w:pStyle w:val="140"/>
              <w:numPr>
                <w:ilvl w:val="0"/>
                <w:numId w:val="1"/>
              </w:numPr>
              <w:pBdr>
                <w:bottom w:val="none" w:color="auto" w:sz="0" w:space="0"/>
              </w:pBdr>
              <w:tabs>
                <w:tab w:val="clear" w:pos="4153"/>
                <w:tab w:val="clear" w:pos="8306"/>
              </w:tabs>
              <w:adjustRightInd/>
              <w:spacing w:line="0" w:lineRule="atLeast"/>
              <w:textAlignment w:val="auto"/>
              <w:rPr>
                <w:rFonts w:ascii="宋体" w:hAnsi="宋体" w:cs="宋体"/>
                <w:bCs/>
                <w:kern w:val="2"/>
                <w:szCs w:val="24"/>
              </w:rPr>
            </w:pPr>
          </w:p>
        </w:tc>
        <w:tc>
          <w:tcPr>
            <w:tcW w:w="2124" w:type="dxa"/>
            <w:vAlign w:val="center"/>
          </w:tcPr>
          <w:p>
            <w:pPr>
              <w:spacing w:line="0" w:lineRule="atLeast"/>
              <w:jc w:val="center"/>
              <w:rPr>
                <w:rFonts w:ascii="宋体" w:hAnsi="宋体" w:cs="宋体"/>
                <w:bCs/>
                <w:sz w:val="24"/>
                <w:szCs w:val="24"/>
              </w:rPr>
            </w:pPr>
            <w:r>
              <w:rPr>
                <w:rFonts w:hint="eastAsia" w:ascii="宋体" w:hAnsi="宋体" w:cs="宋体"/>
                <w:sz w:val="24"/>
                <w:szCs w:val="24"/>
              </w:rPr>
              <w:t>采购代理机构</w:t>
            </w:r>
          </w:p>
        </w:tc>
        <w:tc>
          <w:tcPr>
            <w:tcW w:w="6355" w:type="dxa"/>
            <w:vAlign w:val="center"/>
          </w:tcPr>
          <w:p>
            <w:pPr>
              <w:spacing w:line="0" w:lineRule="atLeast"/>
              <w:rPr>
                <w:rFonts w:ascii="宋体" w:hAnsi="宋体" w:cs="宋体"/>
                <w:sz w:val="24"/>
                <w:szCs w:val="24"/>
              </w:rPr>
            </w:pPr>
            <w:r>
              <w:rPr>
                <w:rFonts w:hint="eastAsia" w:ascii="宋体" w:hAnsi="宋体" w:cs="宋体"/>
                <w:sz w:val="24"/>
                <w:szCs w:val="24"/>
              </w:rPr>
              <w:t>安徽鼎信项目管理股份有限公司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66" w:type="dxa"/>
            <w:vAlign w:val="center"/>
          </w:tcPr>
          <w:p>
            <w:pPr>
              <w:pStyle w:val="140"/>
              <w:numPr>
                <w:ilvl w:val="0"/>
                <w:numId w:val="1"/>
              </w:numPr>
              <w:pBdr>
                <w:bottom w:val="none" w:color="auto" w:sz="0" w:space="0"/>
              </w:pBdr>
              <w:tabs>
                <w:tab w:val="clear" w:pos="4153"/>
                <w:tab w:val="clear" w:pos="8306"/>
              </w:tabs>
              <w:adjustRightInd/>
              <w:spacing w:line="0" w:lineRule="atLeast"/>
              <w:textAlignment w:val="auto"/>
              <w:rPr>
                <w:rFonts w:ascii="宋体" w:hAnsi="宋体" w:cs="宋体"/>
                <w:bCs/>
                <w:kern w:val="2"/>
                <w:szCs w:val="24"/>
              </w:rPr>
            </w:pPr>
          </w:p>
        </w:tc>
        <w:tc>
          <w:tcPr>
            <w:tcW w:w="2124" w:type="dxa"/>
            <w:vAlign w:val="center"/>
          </w:tcPr>
          <w:p>
            <w:pPr>
              <w:spacing w:line="0" w:lineRule="atLeast"/>
              <w:jc w:val="center"/>
              <w:rPr>
                <w:rFonts w:ascii="宋体" w:hAnsi="宋体" w:cs="宋体"/>
                <w:sz w:val="24"/>
                <w:szCs w:val="24"/>
              </w:rPr>
            </w:pPr>
            <w:r>
              <w:rPr>
                <w:rFonts w:hint="eastAsia" w:ascii="宋体" w:hAnsi="宋体" w:cs="宋体"/>
                <w:sz w:val="24"/>
                <w:szCs w:val="24"/>
              </w:rPr>
              <w:t>项目名称</w:t>
            </w:r>
          </w:p>
        </w:tc>
        <w:tc>
          <w:tcPr>
            <w:tcW w:w="6355" w:type="dxa"/>
            <w:vAlign w:val="center"/>
          </w:tcPr>
          <w:p>
            <w:pPr>
              <w:pStyle w:val="157"/>
              <w:widowControl w:val="0"/>
              <w:spacing w:before="0" w:beforeAutospacing="0" w:after="0" w:afterAutospacing="0" w:line="0" w:lineRule="atLeast"/>
              <w:jc w:val="both"/>
              <w:rPr>
                <w:rFonts w:cs="宋体"/>
                <w:b w:val="0"/>
                <w:bCs w:val="0"/>
                <w:sz w:val="24"/>
                <w:szCs w:val="24"/>
              </w:rPr>
            </w:pPr>
            <w:r>
              <w:rPr>
                <w:rFonts w:hint="eastAsia" w:cs="宋体"/>
                <w:b w:val="0"/>
                <w:bCs w:val="0"/>
                <w:sz w:val="24"/>
                <w:szCs w:val="24"/>
              </w:rPr>
              <w:t>池州学院食堂委托经营项目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66" w:type="dxa"/>
            <w:vAlign w:val="center"/>
          </w:tcPr>
          <w:p>
            <w:pPr>
              <w:pStyle w:val="140"/>
              <w:numPr>
                <w:ilvl w:val="0"/>
                <w:numId w:val="1"/>
              </w:numPr>
              <w:pBdr>
                <w:bottom w:val="none" w:color="auto" w:sz="0" w:space="0"/>
              </w:pBdr>
              <w:tabs>
                <w:tab w:val="clear" w:pos="4153"/>
                <w:tab w:val="clear" w:pos="8306"/>
              </w:tabs>
              <w:adjustRightInd/>
              <w:spacing w:line="0" w:lineRule="atLeast"/>
              <w:textAlignment w:val="auto"/>
              <w:rPr>
                <w:rFonts w:ascii="宋体" w:hAnsi="宋体" w:cs="宋体"/>
                <w:bCs/>
                <w:kern w:val="2"/>
                <w:szCs w:val="24"/>
              </w:rPr>
            </w:pPr>
          </w:p>
        </w:tc>
        <w:tc>
          <w:tcPr>
            <w:tcW w:w="2124" w:type="dxa"/>
            <w:vAlign w:val="center"/>
          </w:tcPr>
          <w:p>
            <w:pPr>
              <w:spacing w:line="0" w:lineRule="atLeast"/>
              <w:jc w:val="center"/>
              <w:rPr>
                <w:rFonts w:ascii="宋体" w:hAnsi="宋体" w:cs="宋体"/>
                <w:sz w:val="24"/>
                <w:szCs w:val="24"/>
              </w:rPr>
            </w:pPr>
            <w:r>
              <w:rPr>
                <w:rFonts w:hint="eastAsia" w:ascii="宋体" w:hAnsi="宋体" w:cs="宋体"/>
                <w:sz w:val="24"/>
                <w:szCs w:val="24"/>
              </w:rPr>
              <w:t>项目编号</w:t>
            </w:r>
          </w:p>
        </w:tc>
        <w:tc>
          <w:tcPr>
            <w:tcW w:w="6355" w:type="dxa"/>
            <w:vAlign w:val="center"/>
          </w:tcPr>
          <w:p>
            <w:pPr>
              <w:pStyle w:val="157"/>
              <w:widowControl w:val="0"/>
              <w:spacing w:before="0" w:beforeAutospacing="0" w:after="0" w:afterAutospacing="0" w:line="0" w:lineRule="atLeast"/>
              <w:jc w:val="both"/>
              <w:rPr>
                <w:rFonts w:cs="宋体"/>
                <w:b w:val="0"/>
                <w:bCs w:val="0"/>
                <w:sz w:val="24"/>
                <w:szCs w:val="24"/>
              </w:rPr>
            </w:pPr>
            <w:r>
              <w:rPr>
                <w:rFonts w:hint="eastAsia" w:cs="宋体"/>
                <w:b w:val="0"/>
                <w:bCs w:val="0"/>
                <w:sz w:val="24"/>
                <w:szCs w:val="24"/>
              </w:rPr>
              <w:t>ZB201804102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66" w:type="dxa"/>
            <w:vAlign w:val="center"/>
          </w:tcPr>
          <w:p>
            <w:pPr>
              <w:pStyle w:val="140"/>
              <w:numPr>
                <w:ilvl w:val="0"/>
                <w:numId w:val="1"/>
              </w:numPr>
              <w:pBdr>
                <w:bottom w:val="none" w:color="auto" w:sz="0" w:space="0"/>
              </w:pBdr>
              <w:tabs>
                <w:tab w:val="clear" w:pos="4153"/>
                <w:tab w:val="clear" w:pos="8306"/>
              </w:tabs>
              <w:adjustRightInd/>
              <w:spacing w:line="0" w:lineRule="atLeast"/>
              <w:textAlignment w:val="auto"/>
              <w:rPr>
                <w:rFonts w:ascii="宋体" w:hAnsi="宋体" w:cs="宋体"/>
                <w:bCs/>
                <w:kern w:val="2"/>
                <w:szCs w:val="24"/>
              </w:rPr>
            </w:pPr>
          </w:p>
        </w:tc>
        <w:tc>
          <w:tcPr>
            <w:tcW w:w="2124" w:type="dxa"/>
            <w:vAlign w:val="center"/>
          </w:tcPr>
          <w:p>
            <w:pPr>
              <w:spacing w:line="0" w:lineRule="atLeast"/>
              <w:jc w:val="center"/>
              <w:rPr>
                <w:rFonts w:ascii="宋体" w:hAnsi="宋体" w:cs="宋体"/>
                <w:sz w:val="24"/>
                <w:szCs w:val="24"/>
              </w:rPr>
            </w:pPr>
            <w:r>
              <w:rPr>
                <w:rFonts w:hint="eastAsia" w:ascii="宋体" w:hAnsi="宋体" w:cs="宋体"/>
                <w:sz w:val="24"/>
                <w:szCs w:val="24"/>
              </w:rPr>
              <w:t>项目性质</w:t>
            </w:r>
          </w:p>
        </w:tc>
        <w:tc>
          <w:tcPr>
            <w:tcW w:w="6355" w:type="dxa"/>
            <w:vAlign w:val="center"/>
          </w:tcPr>
          <w:p>
            <w:pPr>
              <w:pStyle w:val="157"/>
              <w:widowControl w:val="0"/>
              <w:spacing w:before="0" w:beforeAutospacing="0" w:after="0" w:afterAutospacing="0" w:line="0" w:lineRule="atLeast"/>
              <w:jc w:val="both"/>
              <w:rPr>
                <w:rFonts w:cs="宋体"/>
                <w:b w:val="0"/>
                <w:bCs w:val="0"/>
                <w:sz w:val="24"/>
                <w:szCs w:val="24"/>
              </w:rPr>
            </w:pPr>
            <w:r>
              <w:rPr>
                <w:rFonts w:hint="eastAsia" w:cs="宋体"/>
                <w:b w:val="0"/>
                <w:bCs w:val="0"/>
                <w:sz w:val="24"/>
                <w:szCs w:val="24"/>
              </w:rPr>
              <w:t>服务类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66" w:type="dxa"/>
            <w:vAlign w:val="center"/>
          </w:tcPr>
          <w:p>
            <w:pPr>
              <w:pStyle w:val="140"/>
              <w:numPr>
                <w:ilvl w:val="0"/>
                <w:numId w:val="1"/>
              </w:numPr>
              <w:pBdr>
                <w:bottom w:val="none" w:color="auto" w:sz="0" w:space="0"/>
              </w:pBdr>
              <w:tabs>
                <w:tab w:val="clear" w:pos="4153"/>
                <w:tab w:val="clear" w:pos="8306"/>
              </w:tabs>
              <w:adjustRightInd/>
              <w:spacing w:line="0" w:lineRule="atLeast"/>
              <w:textAlignment w:val="auto"/>
              <w:rPr>
                <w:rFonts w:ascii="宋体" w:hAnsi="宋体" w:cs="宋体"/>
                <w:bCs/>
                <w:kern w:val="2"/>
                <w:szCs w:val="24"/>
              </w:rPr>
            </w:pPr>
          </w:p>
        </w:tc>
        <w:tc>
          <w:tcPr>
            <w:tcW w:w="2124" w:type="dxa"/>
            <w:vAlign w:val="center"/>
          </w:tcPr>
          <w:p>
            <w:pPr>
              <w:spacing w:line="0" w:lineRule="atLeast"/>
              <w:jc w:val="center"/>
              <w:rPr>
                <w:rFonts w:ascii="宋体" w:hAnsi="宋体" w:cs="宋体"/>
                <w:sz w:val="24"/>
                <w:szCs w:val="24"/>
              </w:rPr>
            </w:pPr>
            <w:r>
              <w:rPr>
                <w:rFonts w:hint="eastAsia" w:ascii="宋体" w:hAnsi="宋体" w:cs="宋体"/>
                <w:sz w:val="24"/>
                <w:szCs w:val="24"/>
              </w:rPr>
              <w:t>资金来源</w:t>
            </w:r>
          </w:p>
        </w:tc>
        <w:tc>
          <w:tcPr>
            <w:tcW w:w="6355" w:type="dxa"/>
            <w:vAlign w:val="center"/>
          </w:tcPr>
          <w:p>
            <w:pPr>
              <w:pStyle w:val="157"/>
              <w:widowControl w:val="0"/>
              <w:spacing w:before="0" w:beforeAutospacing="0" w:after="0" w:afterAutospacing="0" w:line="0" w:lineRule="atLeast"/>
              <w:jc w:val="both"/>
              <w:rPr>
                <w:rFonts w:cs="宋体"/>
                <w:b w:val="0"/>
                <w:bCs w:val="0"/>
                <w:sz w:val="24"/>
                <w:szCs w:val="24"/>
              </w:rPr>
            </w:pPr>
            <w:r>
              <w:rPr>
                <w:rFonts w:hint="eastAsia" w:cs="宋体"/>
                <w:b w:val="0"/>
                <w:bCs w:val="0"/>
                <w:sz w:val="24"/>
                <w:szCs w:val="24"/>
              </w:rPr>
              <w:sym w:font="Wingdings" w:char="F0FE"/>
            </w:r>
            <w:r>
              <w:rPr>
                <w:rFonts w:hint="eastAsia" w:cs="宋体"/>
                <w:b w:val="0"/>
                <w:bCs w:val="0"/>
                <w:sz w:val="24"/>
                <w:szCs w:val="24"/>
                <w:lang w:val="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66" w:type="dxa"/>
            <w:vAlign w:val="center"/>
          </w:tcPr>
          <w:p>
            <w:pPr>
              <w:pStyle w:val="140"/>
              <w:numPr>
                <w:ilvl w:val="0"/>
                <w:numId w:val="1"/>
              </w:numPr>
              <w:pBdr>
                <w:bottom w:val="none" w:color="auto" w:sz="0" w:space="0"/>
              </w:pBdr>
              <w:tabs>
                <w:tab w:val="clear" w:pos="4153"/>
                <w:tab w:val="clear" w:pos="8306"/>
              </w:tabs>
              <w:adjustRightInd/>
              <w:spacing w:line="0" w:lineRule="atLeast"/>
              <w:textAlignment w:val="auto"/>
              <w:rPr>
                <w:rFonts w:ascii="宋体" w:hAnsi="宋体" w:cs="宋体"/>
                <w:bCs/>
                <w:kern w:val="2"/>
                <w:szCs w:val="24"/>
              </w:rPr>
            </w:pPr>
          </w:p>
        </w:tc>
        <w:tc>
          <w:tcPr>
            <w:tcW w:w="2124" w:type="dxa"/>
            <w:vAlign w:val="center"/>
          </w:tcPr>
          <w:p>
            <w:pPr>
              <w:spacing w:line="0" w:lineRule="atLeast"/>
              <w:jc w:val="center"/>
              <w:rPr>
                <w:rFonts w:ascii="宋体" w:hAnsi="宋体" w:cs="宋体"/>
                <w:sz w:val="24"/>
                <w:szCs w:val="24"/>
                <w:lang w:val="zh-CN"/>
              </w:rPr>
            </w:pPr>
            <w:r>
              <w:rPr>
                <w:rFonts w:hint="eastAsia" w:ascii="宋体" w:hAnsi="宋体" w:cs="宋体"/>
                <w:sz w:val="24"/>
                <w:szCs w:val="24"/>
              </w:rPr>
              <w:t>包别划分</w:t>
            </w:r>
          </w:p>
        </w:tc>
        <w:tc>
          <w:tcPr>
            <w:tcW w:w="6355" w:type="dxa"/>
            <w:vAlign w:val="center"/>
          </w:tcPr>
          <w:p>
            <w:pPr>
              <w:spacing w:line="0" w:lineRule="atLeast"/>
              <w:ind w:left="841" w:hanging="841"/>
              <w:rPr>
                <w:rFonts w:ascii="宋体" w:hAnsi="宋体" w:cs="宋体"/>
                <w:sz w:val="24"/>
                <w:szCs w:val="24"/>
              </w:rPr>
            </w:pPr>
            <w:r>
              <w:rPr>
                <w:rFonts w:hint="eastAsia" w:ascii="宋体" w:hAnsi="宋体" w:cs="宋体"/>
                <w:sz w:val="24"/>
                <w:szCs w:val="24"/>
              </w:rPr>
              <w:sym w:font="Wingdings" w:char="F0FE"/>
            </w:r>
            <w:r>
              <w:rPr>
                <w:rFonts w:hint="eastAsia" w:ascii="宋体" w:hAnsi="宋体" w:cs="宋体"/>
                <w:sz w:val="24"/>
                <w:szCs w:val="24"/>
              </w:rPr>
              <w:t>本项目共分为4个包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66" w:type="dxa"/>
            <w:vAlign w:val="center"/>
          </w:tcPr>
          <w:p>
            <w:pPr>
              <w:pStyle w:val="140"/>
              <w:numPr>
                <w:ilvl w:val="0"/>
                <w:numId w:val="1"/>
              </w:numPr>
              <w:pBdr>
                <w:bottom w:val="none" w:color="auto" w:sz="0" w:space="0"/>
              </w:pBdr>
              <w:tabs>
                <w:tab w:val="clear" w:pos="4153"/>
                <w:tab w:val="clear" w:pos="8306"/>
              </w:tabs>
              <w:adjustRightInd/>
              <w:spacing w:line="0" w:lineRule="atLeast"/>
              <w:textAlignment w:val="auto"/>
              <w:rPr>
                <w:rFonts w:ascii="宋体" w:hAnsi="宋体" w:cs="宋体"/>
                <w:bCs/>
                <w:kern w:val="2"/>
                <w:szCs w:val="24"/>
              </w:rPr>
            </w:pPr>
          </w:p>
        </w:tc>
        <w:tc>
          <w:tcPr>
            <w:tcW w:w="2124" w:type="dxa"/>
            <w:vAlign w:val="center"/>
          </w:tcPr>
          <w:p>
            <w:pPr>
              <w:spacing w:line="0" w:lineRule="atLeast"/>
              <w:jc w:val="center"/>
              <w:rPr>
                <w:rFonts w:ascii="宋体" w:hAnsi="宋体" w:cs="宋体"/>
                <w:sz w:val="24"/>
                <w:szCs w:val="24"/>
              </w:rPr>
            </w:pPr>
            <w:r>
              <w:rPr>
                <w:rFonts w:hint="eastAsia" w:ascii="宋体" w:hAnsi="宋体" w:cs="宋体"/>
                <w:sz w:val="24"/>
                <w:szCs w:val="24"/>
              </w:rPr>
              <w:t>联合体投标</w:t>
            </w:r>
          </w:p>
        </w:tc>
        <w:tc>
          <w:tcPr>
            <w:tcW w:w="6355" w:type="dxa"/>
            <w:vAlign w:val="center"/>
          </w:tcPr>
          <w:p>
            <w:pPr>
              <w:spacing w:line="0" w:lineRule="atLeast"/>
              <w:rPr>
                <w:rFonts w:ascii="宋体" w:hAnsi="宋体" w:cs="宋体"/>
                <w:sz w:val="24"/>
                <w:szCs w:val="24"/>
              </w:rPr>
            </w:pPr>
            <w:r>
              <w:rPr>
                <w:rFonts w:hint="eastAsia" w:ascii="宋体" w:hAnsi="宋体" w:cs="宋体"/>
                <w:kern w:val="0"/>
                <w:sz w:val="24"/>
                <w:szCs w:val="24"/>
              </w:rPr>
              <w:t>□</w:t>
            </w:r>
            <w:r>
              <w:rPr>
                <w:rFonts w:hint="eastAsia" w:ascii="宋体" w:hAnsi="宋体" w:cs="宋体"/>
                <w:sz w:val="24"/>
                <w:szCs w:val="24"/>
                <w:lang w:val="zh-CN"/>
              </w:rPr>
              <w:t>允许</w:t>
            </w:r>
            <w:r>
              <w:rPr>
                <w:rFonts w:hint="eastAsia" w:ascii="宋体" w:hAnsi="宋体" w:cs="宋体"/>
                <w:sz w:val="24"/>
                <w:szCs w:val="24"/>
              </w:rPr>
              <w:sym w:font="Wingdings" w:char="F0FE"/>
            </w:r>
            <w:r>
              <w:rPr>
                <w:rFonts w:hint="eastAsia" w:ascii="宋体" w:hAnsi="宋体" w:cs="宋体"/>
                <w:sz w:val="24"/>
                <w:szCs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66" w:type="dxa"/>
            <w:vAlign w:val="center"/>
          </w:tcPr>
          <w:p>
            <w:pPr>
              <w:pStyle w:val="140"/>
              <w:numPr>
                <w:ilvl w:val="0"/>
                <w:numId w:val="1"/>
              </w:numPr>
              <w:pBdr>
                <w:bottom w:val="none" w:color="auto" w:sz="0" w:space="0"/>
              </w:pBdr>
              <w:tabs>
                <w:tab w:val="clear" w:pos="4153"/>
                <w:tab w:val="clear" w:pos="8306"/>
              </w:tabs>
              <w:adjustRightInd/>
              <w:spacing w:line="0" w:lineRule="atLeast"/>
              <w:textAlignment w:val="auto"/>
              <w:rPr>
                <w:rFonts w:ascii="宋体" w:hAnsi="宋体" w:cs="宋体"/>
                <w:bCs/>
                <w:kern w:val="2"/>
                <w:szCs w:val="24"/>
              </w:rPr>
            </w:pPr>
          </w:p>
        </w:tc>
        <w:tc>
          <w:tcPr>
            <w:tcW w:w="2124" w:type="dxa"/>
            <w:vAlign w:val="center"/>
          </w:tcPr>
          <w:p>
            <w:pPr>
              <w:spacing w:line="0" w:lineRule="atLeast"/>
              <w:jc w:val="center"/>
              <w:rPr>
                <w:rFonts w:ascii="宋体" w:hAnsi="宋体" w:cs="宋体"/>
                <w:sz w:val="24"/>
                <w:szCs w:val="24"/>
                <w:lang w:val="zh-CN"/>
              </w:rPr>
            </w:pPr>
            <w:r>
              <w:rPr>
                <w:rFonts w:hint="eastAsia" w:ascii="宋体" w:hAnsi="宋体" w:cs="宋体"/>
                <w:sz w:val="24"/>
                <w:szCs w:val="24"/>
              </w:rPr>
              <w:t>投标有效期</w:t>
            </w:r>
          </w:p>
        </w:tc>
        <w:tc>
          <w:tcPr>
            <w:tcW w:w="6355" w:type="dxa"/>
            <w:vAlign w:val="center"/>
          </w:tcPr>
          <w:p>
            <w:pPr>
              <w:spacing w:line="0" w:lineRule="atLeast"/>
              <w:rPr>
                <w:rFonts w:ascii="宋体" w:hAnsi="宋体" w:cs="宋体"/>
                <w:sz w:val="24"/>
                <w:szCs w:val="24"/>
              </w:rPr>
            </w:pPr>
            <w:r>
              <w:rPr>
                <w:rFonts w:hint="eastAsia" w:ascii="宋体" w:hAnsi="宋体" w:cs="宋体"/>
                <w:bCs/>
                <w:sz w:val="24"/>
                <w:szCs w:val="24"/>
              </w:rPr>
              <w:t>120天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66" w:type="dxa"/>
            <w:vAlign w:val="center"/>
          </w:tcPr>
          <w:p>
            <w:pPr>
              <w:pStyle w:val="140"/>
              <w:numPr>
                <w:ilvl w:val="0"/>
                <w:numId w:val="1"/>
              </w:numPr>
              <w:pBdr>
                <w:bottom w:val="none" w:color="auto" w:sz="0" w:space="0"/>
              </w:pBdr>
              <w:tabs>
                <w:tab w:val="clear" w:pos="4153"/>
                <w:tab w:val="clear" w:pos="8306"/>
              </w:tabs>
              <w:adjustRightInd/>
              <w:spacing w:line="0" w:lineRule="atLeast"/>
              <w:textAlignment w:val="auto"/>
              <w:rPr>
                <w:rFonts w:ascii="宋体" w:hAnsi="宋体" w:cs="宋体"/>
                <w:bCs/>
                <w:kern w:val="2"/>
                <w:szCs w:val="24"/>
              </w:rPr>
            </w:pPr>
          </w:p>
        </w:tc>
        <w:tc>
          <w:tcPr>
            <w:tcW w:w="2124" w:type="dxa"/>
            <w:vAlign w:val="center"/>
          </w:tcPr>
          <w:p>
            <w:pPr>
              <w:spacing w:line="0" w:lineRule="atLeast"/>
              <w:jc w:val="center"/>
              <w:rPr>
                <w:rFonts w:ascii="宋体" w:hAnsi="宋体" w:cs="宋体"/>
                <w:sz w:val="24"/>
                <w:szCs w:val="24"/>
              </w:rPr>
            </w:pPr>
            <w:r>
              <w:rPr>
                <w:rFonts w:hint="eastAsia" w:ascii="宋体" w:hAnsi="宋体" w:cs="宋体"/>
                <w:sz w:val="24"/>
                <w:szCs w:val="24"/>
              </w:rPr>
              <w:t>项目地点</w:t>
            </w:r>
          </w:p>
        </w:tc>
        <w:tc>
          <w:tcPr>
            <w:tcW w:w="6355" w:type="dxa"/>
            <w:vAlign w:val="center"/>
          </w:tcPr>
          <w:p>
            <w:pPr>
              <w:spacing w:line="0" w:lineRule="atLeast"/>
              <w:rPr>
                <w:rFonts w:ascii="宋体" w:hAnsi="宋体" w:cs="宋体"/>
                <w:sz w:val="24"/>
                <w:szCs w:val="24"/>
              </w:rPr>
            </w:pPr>
            <w:r>
              <w:rPr>
                <w:rFonts w:hint="eastAsia" w:ascii="宋体" w:hAnsi="宋体" w:cs="宋体"/>
                <w:sz w:val="24"/>
                <w:szCs w:val="24"/>
              </w:rPr>
              <w:t>池州学院，采购人指定地点。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5" w:hRule="atLeast"/>
        </w:trPr>
        <w:tc>
          <w:tcPr>
            <w:tcW w:w="866" w:type="dxa"/>
            <w:vAlign w:val="center"/>
          </w:tcPr>
          <w:p>
            <w:pPr>
              <w:pStyle w:val="140"/>
              <w:numPr>
                <w:ilvl w:val="0"/>
                <w:numId w:val="1"/>
              </w:numPr>
              <w:pBdr>
                <w:bottom w:val="none" w:color="auto" w:sz="0" w:space="0"/>
              </w:pBdr>
              <w:tabs>
                <w:tab w:val="clear" w:pos="4153"/>
                <w:tab w:val="clear" w:pos="8306"/>
              </w:tabs>
              <w:adjustRightInd/>
              <w:spacing w:line="0" w:lineRule="atLeast"/>
              <w:textAlignment w:val="auto"/>
              <w:rPr>
                <w:rFonts w:ascii="宋体" w:hAnsi="宋体" w:cs="宋体"/>
                <w:bCs/>
                <w:kern w:val="2"/>
                <w:szCs w:val="24"/>
              </w:rPr>
            </w:pPr>
          </w:p>
        </w:tc>
        <w:tc>
          <w:tcPr>
            <w:tcW w:w="2124" w:type="dxa"/>
            <w:vAlign w:val="center"/>
          </w:tcPr>
          <w:p>
            <w:pPr>
              <w:spacing w:line="0" w:lineRule="atLeast"/>
              <w:jc w:val="center"/>
              <w:rPr>
                <w:rFonts w:ascii="宋体" w:hAnsi="宋体" w:cs="宋体"/>
                <w:sz w:val="24"/>
                <w:szCs w:val="24"/>
              </w:rPr>
            </w:pPr>
            <w:r>
              <w:rPr>
                <w:rFonts w:hint="eastAsia" w:ascii="宋体" w:hAnsi="宋体" w:cs="宋体"/>
                <w:sz w:val="24"/>
                <w:szCs w:val="24"/>
              </w:rPr>
              <w:t>经营期限</w:t>
            </w:r>
          </w:p>
        </w:tc>
        <w:tc>
          <w:tcPr>
            <w:tcW w:w="6355" w:type="dxa"/>
            <w:vAlign w:val="center"/>
          </w:tcPr>
          <w:p>
            <w:pPr>
              <w:spacing w:line="0" w:lineRule="atLeast"/>
              <w:ind w:firstLine="480" w:firstLineChars="200"/>
              <w:rPr>
                <w:rFonts w:ascii="宋体" w:hAnsi="宋体" w:cs="宋体"/>
                <w:color w:val="1515C4"/>
                <w:sz w:val="24"/>
                <w:szCs w:val="24"/>
                <w:highlight w:val="yellow"/>
              </w:rPr>
            </w:pPr>
            <w:r>
              <w:rPr>
                <w:rFonts w:hint="eastAsia" w:ascii="宋体" w:hAnsi="宋体" w:cs="宋体"/>
                <w:color w:val="1515C4"/>
                <w:sz w:val="24"/>
                <w:szCs w:val="24"/>
                <w:highlight w:val="yellow"/>
              </w:rPr>
              <w:t>经营期限三年。</w:t>
            </w:r>
          </w:p>
          <w:p>
            <w:pPr>
              <w:spacing w:line="0" w:lineRule="atLeast"/>
              <w:ind w:firstLine="480" w:firstLineChars="200"/>
              <w:rPr>
                <w:rFonts w:ascii="宋体" w:hAnsi="宋体" w:cs="宋体"/>
                <w:sz w:val="24"/>
                <w:szCs w:val="24"/>
                <w:highlight w:val="yellow"/>
              </w:rPr>
            </w:pPr>
            <w:r>
              <w:rPr>
                <w:rFonts w:hint="eastAsia" w:ascii="宋体" w:hAnsi="宋体" w:cs="宋体"/>
                <w:sz w:val="24"/>
                <w:szCs w:val="24"/>
                <w:highlight w:val="yellow"/>
              </w:rPr>
              <w:t>若在合同期内，出现任一年度考核达不到优秀等次的，则中标供应商在该年度服务期结束时自行退场；若在任一年度内考核不合格，则采购人有权单方面解除合同并强制其退场。若供应商每年度考核均为优秀等次、总体考核优秀的，报学校研究同意，续签壹年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4" w:hRule="atLeast"/>
        </w:trPr>
        <w:tc>
          <w:tcPr>
            <w:tcW w:w="866" w:type="dxa"/>
            <w:vAlign w:val="center"/>
          </w:tcPr>
          <w:p>
            <w:pPr>
              <w:pStyle w:val="140"/>
              <w:numPr>
                <w:ilvl w:val="0"/>
                <w:numId w:val="1"/>
              </w:numPr>
              <w:pBdr>
                <w:bottom w:val="none" w:color="auto" w:sz="0" w:space="0"/>
              </w:pBdr>
              <w:tabs>
                <w:tab w:val="clear" w:pos="4153"/>
                <w:tab w:val="clear" w:pos="8306"/>
              </w:tabs>
              <w:adjustRightInd/>
              <w:spacing w:line="0" w:lineRule="atLeast"/>
              <w:textAlignment w:val="auto"/>
              <w:rPr>
                <w:rFonts w:ascii="宋体" w:hAnsi="宋体" w:cs="宋体"/>
                <w:bCs/>
                <w:kern w:val="2"/>
                <w:szCs w:val="24"/>
              </w:rPr>
            </w:pPr>
          </w:p>
        </w:tc>
        <w:tc>
          <w:tcPr>
            <w:tcW w:w="2124" w:type="dxa"/>
            <w:vAlign w:val="center"/>
          </w:tcPr>
          <w:p>
            <w:pPr>
              <w:pStyle w:val="140"/>
              <w:pBdr>
                <w:bottom w:val="none" w:color="auto" w:sz="0" w:space="0"/>
              </w:pBdr>
              <w:tabs>
                <w:tab w:val="clear" w:pos="4153"/>
                <w:tab w:val="clear" w:pos="8306"/>
              </w:tabs>
              <w:adjustRightInd/>
              <w:spacing w:line="0" w:lineRule="atLeast"/>
              <w:textAlignment w:val="auto"/>
              <w:rPr>
                <w:rFonts w:ascii="宋体" w:hAnsi="宋体" w:cs="宋体"/>
                <w:kern w:val="2"/>
                <w:szCs w:val="24"/>
                <w:lang w:val="zh-CN"/>
              </w:rPr>
            </w:pPr>
            <w:r>
              <w:rPr>
                <w:rFonts w:hint="eastAsia" w:ascii="宋体" w:hAnsi="宋体" w:cs="宋体"/>
                <w:kern w:val="2"/>
                <w:szCs w:val="24"/>
              </w:rPr>
              <w:t>投标保证金</w:t>
            </w:r>
          </w:p>
        </w:tc>
        <w:tc>
          <w:tcPr>
            <w:tcW w:w="6355" w:type="dxa"/>
            <w:vAlign w:val="center"/>
          </w:tcPr>
          <w:p>
            <w:pPr>
              <w:spacing w:line="0" w:lineRule="atLeast"/>
              <w:ind w:firstLine="480" w:firstLineChars="200"/>
              <w:rPr>
                <w:rFonts w:ascii="宋体" w:hAnsi="宋体" w:cs="宋体"/>
                <w:sz w:val="24"/>
                <w:szCs w:val="24"/>
              </w:rPr>
            </w:pPr>
            <w:r>
              <w:rPr>
                <w:rFonts w:hint="eastAsia" w:ascii="宋体" w:hAnsi="宋体" w:cs="宋体"/>
                <w:sz w:val="24"/>
                <w:szCs w:val="24"/>
              </w:rPr>
              <w:t>无论投一个包还是多个包，投标供应商均只需缴纳人民币</w:t>
            </w:r>
            <w:r>
              <w:rPr>
                <w:rFonts w:hint="eastAsia" w:ascii="宋体" w:hAnsi="宋体" w:cs="宋体"/>
                <w:b/>
                <w:bCs/>
                <w:color w:val="0000FF"/>
                <w:sz w:val="24"/>
                <w:szCs w:val="24"/>
                <w:u w:val="single"/>
              </w:rPr>
              <w:t>贰拾万元整</w:t>
            </w:r>
            <w:r>
              <w:rPr>
                <w:rFonts w:hint="eastAsia" w:ascii="宋体" w:hAnsi="宋体" w:cs="宋体"/>
                <w:sz w:val="24"/>
                <w:szCs w:val="24"/>
              </w:rPr>
              <w:t>作为投标保证金。</w:t>
            </w:r>
          </w:p>
          <w:p>
            <w:pPr>
              <w:spacing w:line="0" w:lineRule="atLeast"/>
              <w:ind w:firstLine="480" w:firstLineChars="200"/>
              <w:rPr>
                <w:rFonts w:ascii="宋体" w:hAnsi="宋体" w:cs="宋体"/>
                <w:sz w:val="24"/>
                <w:szCs w:val="24"/>
              </w:rPr>
            </w:pPr>
            <w:r>
              <w:rPr>
                <w:rFonts w:hint="eastAsia" w:ascii="宋体" w:hAnsi="宋体" w:cs="宋体"/>
                <w:sz w:val="24"/>
                <w:szCs w:val="24"/>
              </w:rPr>
              <w:t>投标保证金应当于</w:t>
            </w:r>
            <w:r>
              <w:rPr>
                <w:rFonts w:hint="eastAsia" w:ascii="宋体" w:hAnsi="宋体" w:cs="宋体"/>
                <w:color w:val="0000FF"/>
                <w:sz w:val="24"/>
                <w:szCs w:val="24"/>
              </w:rPr>
              <w:t>2018年5月日</w:t>
            </w:r>
            <w:r>
              <w:rPr>
                <w:rFonts w:hint="eastAsia" w:ascii="宋体" w:hAnsi="宋体" w:cs="宋体"/>
                <w:sz w:val="24"/>
                <w:szCs w:val="24"/>
              </w:rPr>
              <w:t>前足额到达如下账户：</w:t>
            </w:r>
          </w:p>
          <w:p>
            <w:pPr>
              <w:spacing w:line="0" w:lineRule="atLeast"/>
              <w:ind w:firstLine="482" w:firstLineChars="200"/>
              <w:rPr>
                <w:rFonts w:ascii="宋体" w:hAnsi="宋体" w:cs="宋体"/>
                <w:b/>
                <w:bCs/>
                <w:sz w:val="24"/>
                <w:szCs w:val="24"/>
              </w:rPr>
            </w:pPr>
            <w:r>
              <w:rPr>
                <w:rFonts w:hint="eastAsia" w:ascii="宋体" w:hAnsi="宋体" w:cs="宋体"/>
                <w:b/>
                <w:bCs/>
                <w:sz w:val="24"/>
                <w:szCs w:val="24"/>
              </w:rPr>
              <w:t>户名：安徽鼎信项目管理股份有限公司</w:t>
            </w:r>
          </w:p>
          <w:p>
            <w:pPr>
              <w:spacing w:line="0" w:lineRule="atLeast"/>
              <w:ind w:firstLine="482" w:firstLineChars="200"/>
              <w:rPr>
                <w:rFonts w:ascii="宋体" w:hAnsi="宋体" w:cs="宋体"/>
                <w:b/>
                <w:bCs/>
                <w:sz w:val="24"/>
                <w:szCs w:val="24"/>
              </w:rPr>
            </w:pPr>
            <w:r>
              <w:rPr>
                <w:rFonts w:hint="eastAsia" w:ascii="宋体" w:hAnsi="宋体" w:cs="宋体"/>
                <w:b/>
                <w:bCs/>
                <w:sz w:val="24"/>
                <w:szCs w:val="24"/>
              </w:rPr>
              <w:t>开户银行：工商银行合肥市望江路支行</w:t>
            </w:r>
          </w:p>
          <w:p>
            <w:pPr>
              <w:spacing w:line="0" w:lineRule="atLeast"/>
              <w:ind w:firstLine="482" w:firstLineChars="200"/>
              <w:rPr>
                <w:rFonts w:ascii="宋体" w:hAnsi="宋体" w:cs="宋体"/>
                <w:b/>
                <w:bCs/>
                <w:sz w:val="24"/>
                <w:szCs w:val="24"/>
              </w:rPr>
            </w:pPr>
            <w:r>
              <w:rPr>
                <w:rFonts w:hint="eastAsia" w:ascii="宋体" w:hAnsi="宋体" w:cs="宋体"/>
                <w:b/>
                <w:bCs/>
                <w:sz w:val="24"/>
                <w:szCs w:val="24"/>
              </w:rPr>
              <w:t>账号：1302010519200219520</w:t>
            </w:r>
          </w:p>
          <w:p>
            <w:pPr>
              <w:spacing w:line="0" w:lineRule="atLeast"/>
              <w:ind w:firstLine="480" w:firstLineChars="200"/>
              <w:rPr>
                <w:rFonts w:ascii="宋体" w:hAnsi="宋体" w:cs="宋体"/>
                <w:sz w:val="24"/>
                <w:szCs w:val="24"/>
              </w:rPr>
            </w:pPr>
            <w:r>
              <w:rPr>
                <w:rFonts w:hint="eastAsia" w:ascii="宋体" w:hAnsi="宋体" w:cs="宋体"/>
                <w:sz w:val="24"/>
                <w:szCs w:val="24"/>
              </w:rPr>
              <w:t>（用途请注明</w:t>
            </w:r>
            <w:r>
              <w:rPr>
                <w:rFonts w:hint="eastAsia" w:ascii="宋体" w:hAnsi="宋体" w:cs="宋体"/>
                <w:b/>
                <w:bCs/>
                <w:color w:val="0000FF"/>
                <w:sz w:val="24"/>
                <w:szCs w:val="24"/>
              </w:rPr>
              <w:t>池州学院食堂保证金</w:t>
            </w:r>
            <w:r>
              <w:rPr>
                <w:rFonts w:hint="eastAsia" w:ascii="宋体" w:hAnsi="宋体" w:cs="宋体"/>
                <w:sz w:val="24"/>
                <w:szCs w:val="24"/>
              </w:rPr>
              <w:t>）</w:t>
            </w:r>
          </w:p>
          <w:p>
            <w:pPr>
              <w:spacing w:line="0" w:lineRule="atLeast"/>
              <w:ind w:firstLine="480" w:firstLineChars="200"/>
              <w:rPr>
                <w:rFonts w:ascii="宋体" w:hAnsi="宋体" w:cs="宋体"/>
                <w:sz w:val="24"/>
                <w:szCs w:val="24"/>
              </w:rPr>
            </w:pPr>
            <w:r>
              <w:rPr>
                <w:rFonts w:hint="eastAsia" w:ascii="宋体" w:hAnsi="宋体" w:cs="宋体"/>
                <w:sz w:val="24"/>
                <w:szCs w:val="24"/>
              </w:rPr>
              <w:t>形式要求：详见招标文件第三章供应商须知第18条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66" w:hRule="atLeast"/>
        </w:trPr>
        <w:tc>
          <w:tcPr>
            <w:tcW w:w="866" w:type="dxa"/>
            <w:vAlign w:val="center"/>
          </w:tcPr>
          <w:p>
            <w:pPr>
              <w:pStyle w:val="140"/>
              <w:numPr>
                <w:ilvl w:val="0"/>
                <w:numId w:val="1"/>
              </w:numPr>
              <w:pBdr>
                <w:bottom w:val="none" w:color="auto" w:sz="0" w:space="0"/>
              </w:pBdr>
              <w:tabs>
                <w:tab w:val="clear" w:pos="4153"/>
                <w:tab w:val="clear" w:pos="8306"/>
              </w:tabs>
              <w:adjustRightInd/>
              <w:spacing w:line="0" w:lineRule="atLeast"/>
              <w:textAlignment w:val="auto"/>
              <w:rPr>
                <w:rFonts w:ascii="宋体" w:hAnsi="宋体" w:cs="宋体"/>
                <w:bCs/>
                <w:kern w:val="2"/>
                <w:szCs w:val="24"/>
              </w:rPr>
            </w:pPr>
          </w:p>
        </w:tc>
        <w:tc>
          <w:tcPr>
            <w:tcW w:w="2124" w:type="dxa"/>
            <w:vAlign w:val="center"/>
          </w:tcPr>
          <w:p>
            <w:pPr>
              <w:spacing w:line="0" w:lineRule="atLeast"/>
              <w:jc w:val="center"/>
              <w:rPr>
                <w:rFonts w:ascii="宋体" w:hAnsi="宋体" w:cs="宋体"/>
                <w:sz w:val="24"/>
                <w:szCs w:val="24"/>
              </w:rPr>
            </w:pPr>
            <w:r>
              <w:rPr>
                <w:rFonts w:hint="eastAsia" w:ascii="宋体" w:hAnsi="宋体" w:cs="宋体"/>
                <w:bCs/>
                <w:sz w:val="24"/>
                <w:szCs w:val="24"/>
              </w:rPr>
              <w:t>答疑</w:t>
            </w:r>
          </w:p>
        </w:tc>
        <w:tc>
          <w:tcPr>
            <w:tcW w:w="6355" w:type="dxa"/>
            <w:vAlign w:val="center"/>
          </w:tcPr>
          <w:p>
            <w:pPr>
              <w:spacing w:line="0" w:lineRule="atLeast"/>
              <w:ind w:firstLine="482" w:firstLineChars="200"/>
              <w:rPr>
                <w:rFonts w:ascii="宋体" w:hAnsi="宋体" w:cs="宋体"/>
                <w:b/>
                <w:bCs/>
                <w:sz w:val="24"/>
                <w:szCs w:val="24"/>
              </w:rPr>
            </w:pPr>
            <w:r>
              <w:rPr>
                <w:rFonts w:hint="eastAsia" w:ascii="宋体" w:hAnsi="宋体" w:cs="宋体"/>
                <w:b/>
                <w:bCs/>
                <w:sz w:val="24"/>
                <w:szCs w:val="24"/>
              </w:rPr>
              <w:t>供应商如对招标文件有疑问，须在2018年5月日前以书面形式提出，并将书面材料的影印件发至招标公告所列电子邮箱（逾期不予受理）。</w:t>
            </w:r>
          </w:p>
          <w:p>
            <w:pPr>
              <w:spacing w:line="0" w:lineRule="atLeast"/>
              <w:ind w:firstLine="480" w:firstLineChars="200"/>
              <w:rPr>
                <w:rFonts w:ascii="宋体" w:hAnsi="宋体" w:cs="宋体"/>
                <w:sz w:val="24"/>
                <w:szCs w:val="24"/>
              </w:rPr>
            </w:pPr>
            <w:r>
              <w:rPr>
                <w:rFonts w:hint="eastAsia" w:ascii="宋体" w:hAnsi="宋体" w:cs="宋体"/>
                <w:sz w:val="24"/>
                <w:szCs w:val="24"/>
              </w:rPr>
              <w:t>疑问的提出详见招标文件第三章供应商须知第14条。</w:t>
            </w:r>
          </w:p>
          <w:p>
            <w:pPr>
              <w:spacing w:line="0" w:lineRule="atLeast"/>
              <w:ind w:firstLine="480" w:firstLineChars="200"/>
              <w:rPr>
                <w:rFonts w:ascii="宋体" w:hAnsi="宋体" w:cs="宋体"/>
                <w:bCs/>
                <w:sz w:val="24"/>
                <w:szCs w:val="24"/>
              </w:rPr>
            </w:pPr>
            <w:r>
              <w:rPr>
                <w:rFonts w:hint="eastAsia" w:ascii="宋体" w:hAnsi="宋体" w:cs="宋体"/>
                <w:sz w:val="24"/>
                <w:szCs w:val="24"/>
              </w:rPr>
              <w:t>供应商请注意：对招标文件进行的</w:t>
            </w:r>
            <w:r>
              <w:rPr>
                <w:rFonts w:hint="eastAsia" w:ascii="宋体" w:hAnsi="宋体" w:cs="宋体"/>
                <w:bCs/>
                <w:sz w:val="24"/>
                <w:szCs w:val="24"/>
              </w:rPr>
              <w:t>答疑、澄清、变更或补充，将在相关网站上及时发布，该公告内容为招标文件的组成部分，对供应商具有同样约束力。供应商应主动上网查询。采购人和安徽鼎信项目管理股份有限公司不承担供应商未及时关注相关信息引发的相关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4" w:hRule="atLeast"/>
        </w:trPr>
        <w:tc>
          <w:tcPr>
            <w:tcW w:w="866" w:type="dxa"/>
            <w:vAlign w:val="center"/>
          </w:tcPr>
          <w:p>
            <w:pPr>
              <w:pStyle w:val="140"/>
              <w:numPr>
                <w:ilvl w:val="0"/>
                <w:numId w:val="1"/>
              </w:numPr>
              <w:pBdr>
                <w:bottom w:val="none" w:color="auto" w:sz="0" w:space="0"/>
              </w:pBdr>
              <w:tabs>
                <w:tab w:val="clear" w:pos="4153"/>
                <w:tab w:val="clear" w:pos="8306"/>
              </w:tabs>
              <w:adjustRightInd/>
              <w:spacing w:line="0" w:lineRule="atLeast"/>
              <w:textAlignment w:val="auto"/>
              <w:rPr>
                <w:rFonts w:ascii="宋体" w:hAnsi="宋体" w:cs="宋体"/>
                <w:bCs/>
                <w:kern w:val="2"/>
                <w:szCs w:val="24"/>
              </w:rPr>
            </w:pPr>
          </w:p>
        </w:tc>
        <w:tc>
          <w:tcPr>
            <w:tcW w:w="2124" w:type="dxa"/>
            <w:vAlign w:val="center"/>
          </w:tcPr>
          <w:p>
            <w:pPr>
              <w:spacing w:line="0" w:lineRule="atLeast"/>
              <w:jc w:val="center"/>
              <w:rPr>
                <w:rFonts w:ascii="宋体" w:hAnsi="宋体" w:cs="宋体"/>
                <w:bCs/>
                <w:sz w:val="24"/>
                <w:szCs w:val="24"/>
              </w:rPr>
            </w:pPr>
            <w:r>
              <w:rPr>
                <w:rFonts w:hint="eastAsia" w:ascii="宋体" w:hAnsi="宋体" w:cs="宋体"/>
                <w:bCs/>
                <w:sz w:val="24"/>
                <w:szCs w:val="24"/>
              </w:rPr>
              <w:t>勘察现场</w:t>
            </w:r>
          </w:p>
        </w:tc>
        <w:tc>
          <w:tcPr>
            <w:tcW w:w="6355" w:type="dxa"/>
            <w:vAlign w:val="center"/>
          </w:tcPr>
          <w:p>
            <w:pPr>
              <w:spacing w:line="0" w:lineRule="atLeast"/>
              <w:rPr>
                <w:rFonts w:ascii="宋体" w:hAnsi="宋体" w:cs="宋体"/>
                <w:bCs/>
                <w:sz w:val="24"/>
                <w:szCs w:val="24"/>
              </w:rPr>
            </w:pPr>
            <w:r>
              <w:rPr>
                <w:rFonts w:hint="eastAsia" w:ascii="宋体" w:hAnsi="宋体" w:cs="宋体"/>
                <w:sz w:val="24"/>
                <w:szCs w:val="24"/>
              </w:rPr>
              <w:sym w:font="Wingdings" w:char="F0FE"/>
            </w:r>
            <w:r>
              <w:rPr>
                <w:rFonts w:hint="eastAsia" w:ascii="宋体" w:hAnsi="宋体" w:cs="宋体"/>
                <w:bCs/>
                <w:sz w:val="24"/>
                <w:szCs w:val="24"/>
              </w:rPr>
              <w:t>自行勘察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6" w:hRule="atLeast"/>
        </w:trPr>
        <w:tc>
          <w:tcPr>
            <w:tcW w:w="866" w:type="dxa"/>
            <w:vAlign w:val="center"/>
          </w:tcPr>
          <w:p>
            <w:pPr>
              <w:pStyle w:val="140"/>
              <w:numPr>
                <w:ilvl w:val="0"/>
                <w:numId w:val="1"/>
              </w:numPr>
              <w:pBdr>
                <w:bottom w:val="none" w:color="auto" w:sz="0" w:space="0"/>
              </w:pBdr>
              <w:tabs>
                <w:tab w:val="clear" w:pos="4153"/>
                <w:tab w:val="clear" w:pos="8306"/>
              </w:tabs>
              <w:adjustRightInd/>
              <w:spacing w:line="0" w:lineRule="atLeast"/>
              <w:textAlignment w:val="auto"/>
              <w:rPr>
                <w:rFonts w:ascii="宋体" w:hAnsi="宋体" w:cs="宋体"/>
                <w:bCs/>
                <w:kern w:val="2"/>
                <w:szCs w:val="24"/>
              </w:rPr>
            </w:pPr>
          </w:p>
        </w:tc>
        <w:tc>
          <w:tcPr>
            <w:tcW w:w="2124" w:type="dxa"/>
            <w:vAlign w:val="center"/>
          </w:tcPr>
          <w:p>
            <w:pPr>
              <w:spacing w:line="0" w:lineRule="atLeast"/>
              <w:jc w:val="center"/>
              <w:rPr>
                <w:rFonts w:ascii="宋体" w:hAnsi="宋体" w:cs="宋体"/>
                <w:sz w:val="24"/>
                <w:szCs w:val="24"/>
              </w:rPr>
            </w:pPr>
            <w:r>
              <w:rPr>
                <w:rFonts w:hint="eastAsia" w:ascii="宋体" w:hAnsi="宋体" w:cs="宋体"/>
                <w:sz w:val="24"/>
                <w:szCs w:val="24"/>
              </w:rPr>
              <w:t>投标文件</w:t>
            </w:r>
          </w:p>
          <w:p>
            <w:pPr>
              <w:spacing w:line="0" w:lineRule="atLeast"/>
              <w:jc w:val="center"/>
              <w:rPr>
                <w:rFonts w:ascii="宋体" w:hAnsi="宋体" w:cs="宋体"/>
                <w:sz w:val="24"/>
                <w:szCs w:val="24"/>
              </w:rPr>
            </w:pPr>
            <w:r>
              <w:rPr>
                <w:rFonts w:hint="eastAsia" w:ascii="宋体" w:hAnsi="宋体" w:cs="宋体"/>
                <w:sz w:val="24"/>
                <w:szCs w:val="24"/>
              </w:rPr>
              <w:t>份数及要求</w:t>
            </w:r>
          </w:p>
        </w:tc>
        <w:tc>
          <w:tcPr>
            <w:tcW w:w="6355" w:type="dxa"/>
            <w:vAlign w:val="center"/>
          </w:tcPr>
          <w:p>
            <w:pPr>
              <w:spacing w:line="0" w:lineRule="atLeast"/>
              <w:rPr>
                <w:rFonts w:ascii="宋体" w:hAnsi="宋体" w:cs="宋体"/>
                <w:sz w:val="24"/>
                <w:szCs w:val="24"/>
              </w:rPr>
            </w:pPr>
            <w:r>
              <w:rPr>
                <w:rFonts w:hint="eastAsia" w:ascii="宋体" w:hAnsi="宋体" w:cs="宋体"/>
                <w:sz w:val="24"/>
                <w:szCs w:val="24"/>
              </w:rPr>
              <w:t>每包投标文件均为：正本</w:t>
            </w:r>
            <w:r>
              <w:rPr>
                <w:rFonts w:hint="eastAsia" w:ascii="宋体" w:hAnsi="宋体" w:cs="宋体"/>
                <w:sz w:val="24"/>
                <w:szCs w:val="24"/>
                <w:u w:val="single"/>
              </w:rPr>
              <w:t>1</w:t>
            </w:r>
            <w:r>
              <w:rPr>
                <w:rFonts w:hint="eastAsia" w:ascii="宋体" w:hAnsi="宋体" w:cs="宋体"/>
                <w:sz w:val="24"/>
                <w:szCs w:val="24"/>
              </w:rPr>
              <w:t>份，副本</w:t>
            </w:r>
            <w:r>
              <w:rPr>
                <w:rFonts w:hint="eastAsia" w:ascii="宋体" w:hAnsi="宋体" w:cs="宋体"/>
                <w:sz w:val="24"/>
                <w:szCs w:val="24"/>
                <w:u w:val="single"/>
              </w:rPr>
              <w:t>4</w:t>
            </w:r>
            <w:r>
              <w:rPr>
                <w:rFonts w:hint="eastAsia" w:ascii="宋体" w:hAnsi="宋体" w:cs="宋体"/>
                <w:sz w:val="24"/>
                <w:szCs w:val="24"/>
              </w:rPr>
              <w:t>份，密封提交。为节约纸张，建议双面打印。</w:t>
            </w:r>
          </w:p>
          <w:p>
            <w:pPr>
              <w:spacing w:line="0" w:lineRule="atLeast"/>
              <w:rPr>
                <w:rFonts w:ascii="宋体" w:hAnsi="宋体" w:cs="宋体"/>
                <w:sz w:val="24"/>
                <w:szCs w:val="24"/>
              </w:rPr>
            </w:pPr>
            <w:r>
              <w:rPr>
                <w:rFonts w:hint="eastAsia" w:ascii="宋体" w:hAnsi="宋体" w:cs="宋体"/>
                <w:b/>
                <w:bCs/>
                <w:color w:val="0000FF"/>
                <w:sz w:val="24"/>
                <w:szCs w:val="24"/>
              </w:rPr>
              <w:t>如供应商投多个包，则须针对多个包制作投标文件。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5" w:hRule="atLeast"/>
        </w:trPr>
        <w:tc>
          <w:tcPr>
            <w:tcW w:w="866" w:type="dxa"/>
            <w:vAlign w:val="center"/>
          </w:tcPr>
          <w:p>
            <w:pPr>
              <w:pStyle w:val="140"/>
              <w:numPr>
                <w:ilvl w:val="0"/>
                <w:numId w:val="1"/>
              </w:numPr>
              <w:pBdr>
                <w:bottom w:val="none" w:color="auto" w:sz="0" w:space="0"/>
              </w:pBdr>
              <w:tabs>
                <w:tab w:val="clear" w:pos="4153"/>
                <w:tab w:val="clear" w:pos="8306"/>
              </w:tabs>
              <w:adjustRightInd/>
              <w:spacing w:line="0" w:lineRule="atLeast"/>
              <w:textAlignment w:val="auto"/>
              <w:rPr>
                <w:rFonts w:ascii="宋体" w:hAnsi="宋体" w:cs="宋体"/>
                <w:bCs/>
                <w:kern w:val="2"/>
                <w:szCs w:val="24"/>
              </w:rPr>
            </w:pPr>
          </w:p>
        </w:tc>
        <w:tc>
          <w:tcPr>
            <w:tcW w:w="2124" w:type="dxa"/>
            <w:vAlign w:val="center"/>
          </w:tcPr>
          <w:p>
            <w:pPr>
              <w:jc w:val="center"/>
              <w:rPr>
                <w:rFonts w:ascii="宋体" w:hAnsi="宋体" w:cs="宋体"/>
                <w:sz w:val="24"/>
                <w:szCs w:val="24"/>
              </w:rPr>
            </w:pPr>
            <w:r>
              <w:rPr>
                <w:rFonts w:hint="eastAsia" w:ascii="宋体" w:hAnsi="宋体" w:cs="宋体"/>
                <w:bCs/>
                <w:sz w:val="24"/>
                <w:szCs w:val="24"/>
              </w:rPr>
              <w:t>资格审查方式</w:t>
            </w:r>
          </w:p>
        </w:tc>
        <w:tc>
          <w:tcPr>
            <w:tcW w:w="6355" w:type="dxa"/>
            <w:vAlign w:val="center"/>
          </w:tcPr>
          <w:p>
            <w:pPr>
              <w:rPr>
                <w:rFonts w:ascii="宋体" w:hAnsi="宋体" w:cs="宋体"/>
                <w:sz w:val="24"/>
                <w:szCs w:val="24"/>
              </w:rPr>
            </w:pPr>
            <w:r>
              <w:rPr>
                <w:rFonts w:hint="eastAsia" w:ascii="宋体" w:hAnsi="宋体" w:cs="宋体"/>
                <w:bCs/>
                <w:sz w:val="24"/>
                <w:szCs w:val="24"/>
              </w:rPr>
              <w:t>资格后审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5" w:hRule="atLeast"/>
        </w:trPr>
        <w:tc>
          <w:tcPr>
            <w:tcW w:w="866" w:type="dxa"/>
            <w:vAlign w:val="center"/>
          </w:tcPr>
          <w:p>
            <w:pPr>
              <w:pStyle w:val="140"/>
              <w:numPr>
                <w:ilvl w:val="0"/>
                <w:numId w:val="1"/>
              </w:numPr>
              <w:pBdr>
                <w:bottom w:val="none" w:color="auto" w:sz="0" w:space="0"/>
              </w:pBdr>
              <w:tabs>
                <w:tab w:val="clear" w:pos="4153"/>
                <w:tab w:val="clear" w:pos="8306"/>
              </w:tabs>
              <w:adjustRightInd/>
              <w:spacing w:line="0" w:lineRule="atLeast"/>
              <w:textAlignment w:val="auto"/>
              <w:rPr>
                <w:rFonts w:ascii="宋体" w:hAnsi="宋体" w:cs="宋体"/>
                <w:bCs/>
                <w:kern w:val="2"/>
                <w:szCs w:val="24"/>
              </w:rPr>
            </w:pPr>
          </w:p>
        </w:tc>
        <w:tc>
          <w:tcPr>
            <w:tcW w:w="2124" w:type="dxa"/>
            <w:vAlign w:val="center"/>
          </w:tcPr>
          <w:p>
            <w:pPr>
              <w:spacing w:line="0" w:lineRule="atLeast"/>
              <w:jc w:val="center"/>
              <w:rPr>
                <w:rFonts w:ascii="宋体" w:hAnsi="宋体" w:cs="宋体"/>
                <w:color w:val="000000" w:themeColor="text1"/>
                <w:sz w:val="24"/>
                <w:szCs w:val="24"/>
              </w:rPr>
            </w:pPr>
            <w:r>
              <w:rPr>
                <w:rFonts w:hint="eastAsia" w:ascii="宋体" w:hAnsi="宋体" w:cs="宋体"/>
                <w:color w:val="000000" w:themeColor="text1"/>
                <w:sz w:val="24"/>
                <w:szCs w:val="24"/>
              </w:rPr>
              <w:t>评标办法</w:t>
            </w:r>
          </w:p>
        </w:tc>
        <w:tc>
          <w:tcPr>
            <w:tcW w:w="6355" w:type="dxa"/>
            <w:vAlign w:val="center"/>
          </w:tcPr>
          <w:p>
            <w:pPr>
              <w:spacing w:line="0" w:lineRule="atLeast"/>
              <w:rPr>
                <w:rFonts w:ascii="宋体" w:hAnsi="宋体" w:cs="宋体"/>
                <w:color w:val="000000" w:themeColor="text1"/>
                <w:sz w:val="24"/>
                <w:szCs w:val="24"/>
              </w:rPr>
            </w:pPr>
            <w:r>
              <w:rPr>
                <w:rFonts w:hint="eastAsia" w:ascii="宋体" w:hAnsi="宋体" w:cs="宋体"/>
                <w:color w:val="000000" w:themeColor="text1"/>
                <w:sz w:val="24"/>
                <w:szCs w:val="24"/>
              </w:rPr>
              <w:t>综合评分法，</w:t>
            </w:r>
            <w:r>
              <w:rPr>
                <w:rFonts w:hint="eastAsia" w:ascii="宋体" w:hAnsi="宋体" w:cs="宋体"/>
                <w:bCs/>
                <w:color w:val="000000" w:themeColor="text1"/>
                <w:sz w:val="24"/>
                <w:szCs w:val="24"/>
              </w:rPr>
              <w:t>详见</w:t>
            </w:r>
            <w:r>
              <w:rPr>
                <w:rFonts w:hint="eastAsia" w:ascii="宋体" w:hAnsi="宋体" w:cs="宋体"/>
                <w:color w:val="000000" w:themeColor="text1"/>
                <w:sz w:val="24"/>
                <w:szCs w:val="24"/>
              </w:rPr>
              <w:t>招标文件</w:t>
            </w:r>
            <w:r>
              <w:rPr>
                <w:rFonts w:hint="eastAsia" w:ascii="宋体" w:hAnsi="宋体" w:cs="宋体"/>
                <w:bCs/>
                <w:color w:val="000000" w:themeColor="text1"/>
                <w:sz w:val="24"/>
                <w:szCs w:val="24"/>
              </w:rPr>
              <w:t>第四章评标办法。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5" w:hRule="atLeast"/>
        </w:trPr>
        <w:tc>
          <w:tcPr>
            <w:tcW w:w="866" w:type="dxa"/>
            <w:vAlign w:val="center"/>
          </w:tcPr>
          <w:p>
            <w:pPr>
              <w:pStyle w:val="140"/>
              <w:numPr>
                <w:ilvl w:val="0"/>
                <w:numId w:val="1"/>
              </w:numPr>
              <w:pBdr>
                <w:bottom w:val="none" w:color="auto" w:sz="0" w:space="0"/>
              </w:pBdr>
              <w:tabs>
                <w:tab w:val="clear" w:pos="4153"/>
                <w:tab w:val="clear" w:pos="8306"/>
              </w:tabs>
              <w:adjustRightInd/>
              <w:spacing w:line="0" w:lineRule="atLeast"/>
              <w:textAlignment w:val="auto"/>
              <w:rPr>
                <w:rFonts w:ascii="宋体" w:hAnsi="宋体" w:cs="宋体"/>
                <w:bCs/>
                <w:kern w:val="2"/>
                <w:szCs w:val="24"/>
              </w:rPr>
            </w:pPr>
          </w:p>
        </w:tc>
        <w:tc>
          <w:tcPr>
            <w:tcW w:w="2124" w:type="dxa"/>
            <w:vAlign w:val="center"/>
          </w:tcPr>
          <w:p>
            <w:pPr>
              <w:spacing w:line="0" w:lineRule="atLeast"/>
              <w:jc w:val="center"/>
              <w:rPr>
                <w:rFonts w:ascii="宋体" w:hAnsi="宋体" w:cs="宋体"/>
                <w:bCs/>
                <w:sz w:val="24"/>
                <w:szCs w:val="24"/>
              </w:rPr>
            </w:pPr>
            <w:r>
              <w:rPr>
                <w:rFonts w:hint="eastAsia" w:ascii="宋体" w:hAnsi="宋体" w:cs="宋体"/>
                <w:bCs/>
                <w:sz w:val="24"/>
                <w:szCs w:val="24"/>
              </w:rPr>
              <w:t>履约保证金</w:t>
            </w:r>
          </w:p>
        </w:tc>
        <w:tc>
          <w:tcPr>
            <w:tcW w:w="6355" w:type="dxa"/>
            <w:vAlign w:val="center"/>
          </w:tcPr>
          <w:p>
            <w:pPr>
              <w:spacing w:line="0" w:lineRule="atLeast"/>
              <w:rPr>
                <w:rFonts w:ascii="宋体" w:hAnsi="宋体" w:cs="宋体"/>
                <w:sz w:val="24"/>
                <w:szCs w:val="24"/>
                <w:highlight w:val="yellow"/>
              </w:rPr>
            </w:pPr>
            <w:r>
              <w:rPr>
                <w:rFonts w:hint="eastAsia" w:ascii="宋体" w:hAnsi="宋体" w:cs="宋体"/>
                <w:sz w:val="24"/>
                <w:szCs w:val="24"/>
                <w:highlight w:val="yellow"/>
              </w:rPr>
              <w:t>合同签订前，各包的中标供应商需向采购人缴纳履约保证金</w:t>
            </w:r>
            <w:r>
              <w:rPr>
                <w:rFonts w:hint="eastAsia" w:ascii="宋体" w:hAnsi="宋体" w:cs="宋体"/>
                <w:b/>
                <w:bCs/>
                <w:color w:val="0000FF"/>
                <w:sz w:val="24"/>
                <w:szCs w:val="24"/>
                <w:highlight w:val="yellow"/>
                <w:u w:val="single"/>
              </w:rPr>
              <w:t>肆拾万元</w:t>
            </w:r>
            <w:r>
              <w:rPr>
                <w:rFonts w:hint="eastAsia" w:ascii="宋体" w:hAnsi="宋体" w:cs="宋体"/>
                <w:sz w:val="24"/>
                <w:szCs w:val="24"/>
                <w:highlight w:val="yellow"/>
              </w:rPr>
              <w:t>整，形式为转账或电汇。</w:t>
            </w:r>
          </w:p>
          <w:p>
            <w:pPr>
              <w:spacing w:line="0" w:lineRule="atLeast"/>
              <w:rPr>
                <w:rFonts w:ascii="宋体" w:hAnsi="宋体" w:cs="宋体"/>
                <w:sz w:val="24"/>
                <w:szCs w:val="24"/>
                <w:highlight w:val="yellow"/>
              </w:rPr>
            </w:pPr>
            <w:r>
              <w:rPr>
                <w:rFonts w:hint="eastAsia" w:ascii="宋体" w:hAnsi="宋体" w:cs="宋体"/>
                <w:sz w:val="24"/>
                <w:szCs w:val="24"/>
                <w:highlight w:val="yellow"/>
              </w:rPr>
              <w:t>本项目履约保证金分以下两部分进行管理：</w:t>
            </w:r>
          </w:p>
          <w:p>
            <w:pPr>
              <w:spacing w:line="0" w:lineRule="atLeast"/>
              <w:rPr>
                <w:rFonts w:ascii="宋体" w:hAnsi="宋体" w:cs="宋体"/>
                <w:color w:val="000000" w:themeColor="text1"/>
                <w:sz w:val="24"/>
                <w:szCs w:val="24"/>
                <w:highlight w:val="yellow"/>
              </w:rPr>
            </w:pPr>
            <w:r>
              <w:rPr>
                <w:rFonts w:hint="eastAsia" w:ascii="宋体" w:hAnsi="宋体" w:cs="宋体"/>
                <w:sz w:val="24"/>
                <w:szCs w:val="24"/>
                <w:highlight w:val="yellow"/>
              </w:rPr>
              <w:t>（1）</w:t>
            </w:r>
            <w:r>
              <w:rPr>
                <w:rFonts w:hint="eastAsia" w:ascii="宋体" w:hAnsi="宋体" w:cs="宋体"/>
                <w:color w:val="000000" w:themeColor="text1"/>
                <w:sz w:val="24"/>
                <w:szCs w:val="24"/>
                <w:highlight w:val="yellow"/>
              </w:rPr>
              <w:t>如中标供应商在承诺期限内完成A级食堂创建，采购人将返还</w:t>
            </w:r>
            <w:r>
              <w:rPr>
                <w:rFonts w:hint="eastAsia" w:ascii="宋体" w:hAnsi="宋体" w:cs="宋体"/>
                <w:color w:val="0909F5"/>
                <w:sz w:val="24"/>
                <w:szCs w:val="24"/>
                <w:highlight w:val="yellow"/>
              </w:rPr>
              <w:t>贰拾万元</w:t>
            </w:r>
            <w:r>
              <w:rPr>
                <w:rFonts w:hint="eastAsia" w:ascii="宋体" w:hAnsi="宋体" w:cs="宋体"/>
                <w:sz w:val="24"/>
                <w:szCs w:val="24"/>
                <w:highlight w:val="yellow"/>
              </w:rPr>
              <w:t>履约保证金</w:t>
            </w:r>
            <w:r>
              <w:rPr>
                <w:rFonts w:hint="eastAsia" w:ascii="宋体" w:hAnsi="宋体" w:cs="宋体"/>
                <w:color w:val="000000" w:themeColor="text1"/>
                <w:sz w:val="24"/>
                <w:szCs w:val="24"/>
                <w:highlight w:val="yellow"/>
              </w:rPr>
              <w:t>；如承诺期限内未完成A级食堂创建，则视同违约，贰拾万元履约保证金不予退还，此笔费用作为违约金将列入捐献基金统一管理使用。</w:t>
            </w:r>
          </w:p>
          <w:p>
            <w:pPr>
              <w:spacing w:line="0" w:lineRule="atLeast"/>
              <w:rPr>
                <w:rFonts w:ascii="宋体" w:hAnsi="宋体" w:cs="宋体"/>
                <w:sz w:val="24"/>
                <w:szCs w:val="24"/>
              </w:rPr>
            </w:pPr>
            <w:r>
              <w:rPr>
                <w:rFonts w:hint="eastAsia" w:ascii="宋体" w:hAnsi="宋体" w:cs="宋体"/>
                <w:sz w:val="24"/>
                <w:szCs w:val="24"/>
                <w:highlight w:val="yellow"/>
              </w:rPr>
              <w:t>（2）</w:t>
            </w:r>
            <w:r>
              <w:rPr>
                <w:rFonts w:hint="eastAsia" w:ascii="宋体" w:hAnsi="宋体" w:cs="宋体"/>
                <w:color w:val="0909F5"/>
                <w:sz w:val="24"/>
                <w:szCs w:val="24"/>
                <w:highlight w:val="yellow"/>
              </w:rPr>
              <w:t>剩余的贰拾万元</w:t>
            </w:r>
            <w:r>
              <w:rPr>
                <w:rFonts w:hint="eastAsia" w:ascii="宋体" w:hAnsi="宋体" w:cs="宋体"/>
                <w:sz w:val="24"/>
                <w:szCs w:val="24"/>
                <w:highlight w:val="yellow"/>
              </w:rPr>
              <w:t>履约保证金都在合同履行完成后无息退还。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24" w:hRule="atLeast"/>
        </w:trPr>
        <w:tc>
          <w:tcPr>
            <w:tcW w:w="866" w:type="dxa"/>
            <w:vAlign w:val="center"/>
          </w:tcPr>
          <w:p>
            <w:pPr>
              <w:pStyle w:val="140"/>
              <w:numPr>
                <w:ilvl w:val="0"/>
                <w:numId w:val="1"/>
              </w:numPr>
              <w:pBdr>
                <w:bottom w:val="none" w:color="auto" w:sz="0" w:space="0"/>
              </w:pBdr>
              <w:tabs>
                <w:tab w:val="clear" w:pos="4153"/>
                <w:tab w:val="clear" w:pos="8306"/>
              </w:tabs>
              <w:adjustRightInd/>
              <w:spacing w:line="0" w:lineRule="atLeast"/>
              <w:textAlignment w:val="auto"/>
              <w:rPr>
                <w:rFonts w:ascii="宋体" w:hAnsi="宋体" w:cs="宋体"/>
                <w:bCs/>
                <w:kern w:val="2"/>
                <w:szCs w:val="24"/>
              </w:rPr>
            </w:pPr>
          </w:p>
        </w:tc>
        <w:tc>
          <w:tcPr>
            <w:tcW w:w="2124" w:type="dxa"/>
            <w:vAlign w:val="center"/>
          </w:tcPr>
          <w:p>
            <w:pPr>
              <w:spacing w:line="0" w:lineRule="atLeast"/>
              <w:jc w:val="center"/>
              <w:rPr>
                <w:rFonts w:ascii="宋体" w:hAnsi="宋体" w:cs="宋体"/>
                <w:sz w:val="24"/>
                <w:szCs w:val="24"/>
              </w:rPr>
            </w:pPr>
            <w:r>
              <w:rPr>
                <w:rFonts w:hint="eastAsia" w:ascii="宋体" w:hAnsi="宋体" w:cs="宋体"/>
                <w:sz w:val="24"/>
                <w:szCs w:val="24"/>
              </w:rPr>
              <w:t>评标、定标顺序</w:t>
            </w:r>
          </w:p>
        </w:tc>
        <w:tc>
          <w:tcPr>
            <w:tcW w:w="6355" w:type="dxa"/>
            <w:vAlign w:val="center"/>
          </w:tcPr>
          <w:p>
            <w:pPr>
              <w:spacing w:line="0" w:lineRule="atLeast"/>
              <w:ind w:firstLine="480" w:firstLineChars="200"/>
              <w:rPr>
                <w:rFonts w:ascii="宋体" w:hAnsi="宋体" w:cs="宋体"/>
                <w:sz w:val="24"/>
                <w:szCs w:val="18"/>
              </w:rPr>
            </w:pPr>
            <w:r>
              <w:rPr>
                <w:rFonts w:hint="eastAsia" w:ascii="宋体" w:hAnsi="宋体" w:cs="宋体"/>
                <w:sz w:val="24"/>
                <w:szCs w:val="18"/>
              </w:rPr>
              <w:t>本项目评标、定标按1、2、3、4包的顺序进行。投标供应商可选择一个或多个包进行投标，并且最多可以作为其中一个包的第一中标候选人。</w:t>
            </w:r>
          </w:p>
          <w:p>
            <w:pPr>
              <w:spacing w:line="0" w:lineRule="atLeast"/>
              <w:ind w:firstLine="480" w:firstLineChars="200"/>
              <w:rPr>
                <w:rFonts w:ascii="宋体" w:hAnsi="宋体" w:cs="宋体"/>
                <w:sz w:val="24"/>
                <w:szCs w:val="18"/>
              </w:rPr>
            </w:pPr>
            <w:r>
              <w:rPr>
                <w:rFonts w:hint="eastAsia" w:ascii="宋体" w:hAnsi="宋体" w:cs="宋体"/>
                <w:sz w:val="24"/>
                <w:szCs w:val="18"/>
              </w:rPr>
              <w:t>例如某投标供应商为第一包的第一中标候选人，可以参与后续包的投标和评审，但不得作为后续包的中标候选人，以此类推。</w:t>
            </w:r>
          </w:p>
          <w:p>
            <w:pPr>
              <w:spacing w:line="0" w:lineRule="atLeast"/>
              <w:ind w:firstLine="480" w:firstLineChars="200"/>
              <w:rPr>
                <w:rFonts w:ascii="宋体" w:hAnsi="宋体" w:cs="宋体"/>
                <w:sz w:val="24"/>
                <w:szCs w:val="18"/>
                <w:highlight w:val="yellow"/>
              </w:rPr>
            </w:pPr>
            <w:r>
              <w:rPr>
                <w:rFonts w:hint="eastAsia" w:ascii="宋体" w:hAnsi="宋体" w:cs="宋体"/>
                <w:sz w:val="24"/>
                <w:szCs w:val="18"/>
              </w:rPr>
              <w:t>本项目共四个包，每个包由评标委员会根据其具体情况，分别推荐1-3名中标候选人。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20" w:hRule="atLeast"/>
        </w:trPr>
        <w:tc>
          <w:tcPr>
            <w:tcW w:w="866" w:type="dxa"/>
            <w:vAlign w:val="center"/>
          </w:tcPr>
          <w:p>
            <w:pPr>
              <w:pStyle w:val="140"/>
              <w:numPr>
                <w:ilvl w:val="0"/>
                <w:numId w:val="1"/>
              </w:numPr>
              <w:pBdr>
                <w:bottom w:val="none" w:color="auto" w:sz="0" w:space="0"/>
              </w:pBdr>
              <w:tabs>
                <w:tab w:val="clear" w:pos="4153"/>
                <w:tab w:val="clear" w:pos="8306"/>
              </w:tabs>
              <w:adjustRightInd/>
              <w:spacing w:line="0" w:lineRule="atLeast"/>
              <w:textAlignment w:val="auto"/>
              <w:rPr>
                <w:rFonts w:ascii="宋体" w:hAnsi="宋体" w:cs="宋体"/>
                <w:bCs/>
                <w:kern w:val="2"/>
                <w:szCs w:val="24"/>
              </w:rPr>
            </w:pPr>
          </w:p>
        </w:tc>
        <w:tc>
          <w:tcPr>
            <w:tcW w:w="2124" w:type="dxa"/>
            <w:vAlign w:val="center"/>
          </w:tcPr>
          <w:p>
            <w:pPr>
              <w:wordWrap w:val="0"/>
              <w:topLinePunct/>
              <w:spacing w:line="0" w:lineRule="atLeast"/>
              <w:jc w:val="center"/>
              <w:rPr>
                <w:rFonts w:ascii="宋体" w:hAnsi="宋体" w:cs="宋体"/>
                <w:sz w:val="24"/>
                <w:szCs w:val="18"/>
              </w:rPr>
            </w:pPr>
            <w:r>
              <w:rPr>
                <w:rFonts w:hint="eastAsia" w:ascii="宋体" w:hAnsi="宋体" w:cs="宋体"/>
                <w:sz w:val="24"/>
                <w:szCs w:val="18"/>
              </w:rPr>
              <w:t>不良信用记录</w:t>
            </w:r>
          </w:p>
          <w:p>
            <w:pPr>
              <w:wordWrap w:val="0"/>
              <w:topLinePunct/>
              <w:spacing w:line="0" w:lineRule="atLeast"/>
              <w:jc w:val="center"/>
              <w:rPr>
                <w:rFonts w:ascii="宋体" w:hAnsi="宋体" w:cs="宋体"/>
                <w:sz w:val="24"/>
                <w:szCs w:val="18"/>
              </w:rPr>
            </w:pPr>
            <w:r>
              <w:rPr>
                <w:rFonts w:hint="eastAsia" w:ascii="宋体" w:hAnsi="宋体" w:cs="宋体"/>
                <w:sz w:val="24"/>
                <w:szCs w:val="18"/>
              </w:rPr>
              <w:t>查询渠道</w:t>
            </w:r>
          </w:p>
        </w:tc>
        <w:tc>
          <w:tcPr>
            <w:tcW w:w="6355" w:type="dxa"/>
            <w:vAlign w:val="center"/>
          </w:tcPr>
          <w:p>
            <w:pPr>
              <w:kinsoku w:val="0"/>
              <w:overflowPunct w:val="0"/>
              <w:autoSpaceDE w:val="0"/>
              <w:autoSpaceDN w:val="0"/>
              <w:rPr>
                <w:rFonts w:ascii="宋体" w:hAnsi="宋体" w:cs="宋体"/>
                <w:sz w:val="24"/>
                <w:szCs w:val="22"/>
              </w:rPr>
            </w:pPr>
            <w:r>
              <w:rPr>
                <w:rFonts w:hint="eastAsia" w:ascii="宋体" w:hAnsi="宋体" w:cs="宋体"/>
                <w:sz w:val="24"/>
                <w:szCs w:val="22"/>
              </w:rPr>
              <w:t>不良信用记录查询渠道如下：</w:t>
            </w:r>
          </w:p>
          <w:p>
            <w:pPr>
              <w:kinsoku w:val="0"/>
              <w:overflowPunct w:val="0"/>
              <w:autoSpaceDE w:val="0"/>
              <w:autoSpaceDN w:val="0"/>
              <w:jc w:val="left"/>
              <w:rPr>
                <w:rFonts w:ascii="宋体" w:hAnsi="宋体" w:cs="宋体"/>
                <w:sz w:val="24"/>
                <w:szCs w:val="22"/>
              </w:rPr>
            </w:pPr>
            <w:r>
              <w:rPr>
                <w:rFonts w:hint="eastAsia" w:ascii="宋体" w:hAnsi="宋体" w:cs="宋体"/>
                <w:sz w:val="24"/>
                <w:szCs w:val="22"/>
              </w:rPr>
              <w:t>（1）失信被执行人：信用中国官网（www.creditchina.gov.cn）</w:t>
            </w:r>
          </w:p>
          <w:p>
            <w:pPr>
              <w:kinsoku w:val="0"/>
              <w:overflowPunct w:val="0"/>
              <w:autoSpaceDE w:val="0"/>
              <w:autoSpaceDN w:val="0"/>
              <w:jc w:val="left"/>
              <w:rPr>
                <w:rFonts w:ascii="宋体" w:hAnsi="宋体" w:cs="宋体"/>
                <w:sz w:val="24"/>
                <w:szCs w:val="22"/>
              </w:rPr>
            </w:pPr>
            <w:r>
              <w:rPr>
                <w:rFonts w:hint="eastAsia" w:ascii="宋体" w:hAnsi="宋体" w:cs="宋体"/>
                <w:sz w:val="24"/>
                <w:szCs w:val="22"/>
              </w:rPr>
              <w:t>（2）行贿犯罪档案：人民检察院查询；</w:t>
            </w:r>
          </w:p>
          <w:p>
            <w:pPr>
              <w:kinsoku w:val="0"/>
              <w:overflowPunct w:val="0"/>
              <w:autoSpaceDE w:val="0"/>
              <w:autoSpaceDN w:val="0"/>
              <w:jc w:val="left"/>
              <w:rPr>
                <w:rFonts w:ascii="宋体" w:hAnsi="宋体" w:cs="宋体"/>
                <w:sz w:val="24"/>
                <w:szCs w:val="22"/>
              </w:rPr>
            </w:pPr>
            <w:r>
              <w:rPr>
                <w:rFonts w:hint="eastAsia" w:ascii="宋体" w:hAnsi="宋体" w:cs="宋体"/>
                <w:sz w:val="24"/>
                <w:szCs w:val="22"/>
              </w:rPr>
              <w:t>（3）企业经营异常名录：信用中国官网（www.creditchina.gov.cn）</w:t>
            </w:r>
          </w:p>
          <w:p>
            <w:pPr>
              <w:kinsoku w:val="0"/>
              <w:overflowPunct w:val="0"/>
              <w:autoSpaceDE w:val="0"/>
              <w:autoSpaceDN w:val="0"/>
              <w:jc w:val="left"/>
              <w:rPr>
                <w:rFonts w:ascii="宋体" w:hAnsi="宋体" w:cs="宋体"/>
                <w:sz w:val="24"/>
                <w:szCs w:val="22"/>
              </w:rPr>
            </w:pPr>
            <w:r>
              <w:rPr>
                <w:rFonts w:hint="eastAsia" w:ascii="宋体" w:hAnsi="宋体" w:cs="宋体"/>
                <w:sz w:val="24"/>
                <w:szCs w:val="22"/>
              </w:rPr>
              <w:t>（4）重大税收违法案件当事人名单：信用中国官网（www.creditchina.gov.cn）</w:t>
            </w:r>
          </w:p>
          <w:p>
            <w:pPr>
              <w:kinsoku w:val="0"/>
              <w:overflowPunct w:val="0"/>
              <w:autoSpaceDE w:val="0"/>
              <w:autoSpaceDN w:val="0"/>
              <w:jc w:val="left"/>
              <w:rPr>
                <w:rFonts w:ascii="宋体" w:hAnsi="宋体" w:cs="宋体"/>
                <w:sz w:val="24"/>
                <w:szCs w:val="18"/>
              </w:rPr>
            </w:pPr>
            <w:r>
              <w:rPr>
                <w:rFonts w:hint="eastAsia" w:ascii="宋体" w:hAnsi="宋体" w:cs="宋体"/>
                <w:sz w:val="24"/>
                <w:szCs w:val="22"/>
              </w:rPr>
              <w:t>（5）政府采购严重违法失信行为记录名单：中国政府采购官网（www.ccgp.gov.cn）</w:t>
            </w:r>
          </w:p>
        </w:tc>
      </w:tr>
    </w:tbl>
    <w:p>
      <w:pPr>
        <w:spacing w:line="0" w:lineRule="atLeast"/>
        <w:ind w:firstLine="420" w:firstLineChars="200"/>
        <w:rPr>
          <w:rFonts w:ascii="Arial" w:hAnsi="Arial" w:cs="Arial"/>
        </w:rPr>
      </w:pPr>
      <w:bookmarkStart w:id="4" w:name="_Hlt509650027"/>
      <w:bookmarkEnd w:id="4"/>
      <w:bookmarkStart w:id="5" w:name="_Hlt519045778"/>
      <w:bookmarkEnd w:id="5"/>
    </w:p>
    <w:p>
      <w:pPr>
        <w:widowControl/>
        <w:spacing w:line="0" w:lineRule="atLeast"/>
        <w:ind w:firstLine="420" w:firstLineChars="200"/>
        <w:jc w:val="left"/>
        <w:rPr>
          <w:rFonts w:ascii="Arial" w:hAnsi="Arial" w:cs="Arial"/>
          <w:kern w:val="0"/>
          <w:sz w:val="24"/>
          <w:szCs w:val="24"/>
        </w:rPr>
      </w:pPr>
      <w:r>
        <w:rPr>
          <w:rFonts w:eastAsia="宋体" w:cs="Arial"/>
        </w:rPr>
        <w:br w:type="page"/>
      </w:r>
    </w:p>
    <w:p>
      <w:pPr>
        <w:pStyle w:val="3"/>
        <w:spacing w:line="0" w:lineRule="atLeast"/>
        <w:rPr>
          <w:rFonts w:eastAsia="宋体" w:cs="Arial"/>
        </w:rPr>
      </w:pPr>
      <w:bookmarkStart w:id="6" w:name="_Hlt516969057"/>
      <w:bookmarkEnd w:id="6"/>
      <w:bookmarkStart w:id="7" w:name="_Hlt509650351"/>
      <w:bookmarkEnd w:id="7"/>
      <w:bookmarkStart w:id="8" w:name="_Toc6504"/>
      <w:r>
        <w:rPr>
          <w:rFonts w:eastAsia="宋体" w:cs="Arial"/>
        </w:rPr>
        <w:t>评标办法</w:t>
      </w:r>
      <w:bookmarkEnd w:id="8"/>
    </w:p>
    <w:p>
      <w:pPr>
        <w:tabs>
          <w:tab w:val="left" w:pos="360"/>
          <w:tab w:val="left" w:pos="540"/>
          <w:tab w:val="left" w:pos="3600"/>
          <w:tab w:val="left" w:pos="3780"/>
          <w:tab w:val="left" w:pos="8460"/>
          <w:tab w:val="left" w:pos="9180"/>
        </w:tabs>
        <w:adjustRightInd w:val="0"/>
        <w:snapToGrid w:val="0"/>
        <w:spacing w:line="0" w:lineRule="atLeast"/>
        <w:ind w:right="-21" w:rightChars="-10"/>
        <w:jc w:val="center"/>
        <w:rPr>
          <w:rFonts w:ascii="Arial" w:hAnsi="Arial" w:cs="Arial"/>
          <w:b/>
          <w:sz w:val="24"/>
        </w:rPr>
      </w:pPr>
      <w:r>
        <w:rPr>
          <w:rFonts w:ascii="Arial" w:hAnsi="Arial" w:cs="Arial"/>
          <w:b/>
          <w:sz w:val="24"/>
        </w:rPr>
        <w:t>一．总则</w:t>
      </w:r>
    </w:p>
    <w:p>
      <w:pPr>
        <w:adjustRightInd w:val="0"/>
        <w:snapToGrid w:val="0"/>
        <w:spacing w:line="0" w:lineRule="atLeast"/>
        <w:ind w:right="-10" w:firstLine="472" w:firstLineChars="196"/>
        <w:rPr>
          <w:rFonts w:ascii="Arial" w:hAnsi="Arial" w:cs="Arial"/>
          <w:bCs/>
          <w:sz w:val="24"/>
        </w:rPr>
      </w:pPr>
      <w:r>
        <w:rPr>
          <w:rFonts w:ascii="Arial" w:hAnsi="Arial" w:cs="Arial"/>
          <w:b/>
          <w:bCs/>
          <w:sz w:val="24"/>
        </w:rPr>
        <w:t>第一条</w:t>
      </w:r>
      <w:r>
        <w:rPr>
          <w:rFonts w:ascii="Arial" w:hAnsi="Arial" w:cs="Arial"/>
          <w:bCs/>
          <w:sz w:val="24"/>
        </w:rPr>
        <w:t>为了做好</w:t>
      </w:r>
      <w:r>
        <w:rPr>
          <w:rFonts w:hint="eastAsia" w:ascii="Arial" w:hAnsi="Arial" w:cs="Arial"/>
          <w:bCs/>
          <w:sz w:val="24"/>
        </w:rPr>
        <w:t>池州学院食堂委托经营项目</w:t>
      </w:r>
      <w:r>
        <w:rPr>
          <w:rFonts w:ascii="Arial" w:hAnsi="Arial" w:cs="Arial"/>
          <w:bCs/>
          <w:sz w:val="24"/>
        </w:rPr>
        <w:t>（项目编号：</w:t>
      </w:r>
      <w:r>
        <w:rPr>
          <w:rFonts w:hint="eastAsia" w:ascii="Arial" w:hAnsi="Arial" w:cs="Arial"/>
          <w:bCs/>
          <w:sz w:val="24"/>
        </w:rPr>
        <w:t>ZB201804102</w:t>
      </w:r>
      <w:r>
        <w:rPr>
          <w:rFonts w:ascii="Arial" w:hAnsi="Arial" w:cs="Arial"/>
          <w:bCs/>
          <w:sz w:val="24"/>
        </w:rPr>
        <w:t>）的招标评标工作，保证项目评审工作的正常有序进行，维护</w:t>
      </w:r>
      <w:r>
        <w:rPr>
          <w:rFonts w:hint="eastAsia" w:ascii="Arial" w:hAnsi="Arial" w:cs="Arial"/>
          <w:bCs/>
          <w:sz w:val="24"/>
        </w:rPr>
        <w:t>采购人</w:t>
      </w:r>
      <w:r>
        <w:rPr>
          <w:rFonts w:ascii="Arial" w:hAnsi="Arial" w:cs="Arial"/>
          <w:bCs/>
          <w:sz w:val="24"/>
        </w:rPr>
        <w:t>、</w:t>
      </w:r>
      <w:r>
        <w:rPr>
          <w:rFonts w:hint="eastAsia" w:ascii="Arial" w:hAnsi="Arial" w:cs="Arial"/>
          <w:bCs/>
          <w:sz w:val="24"/>
        </w:rPr>
        <w:t>供应商</w:t>
      </w:r>
      <w:r>
        <w:rPr>
          <w:rFonts w:ascii="Arial" w:hAnsi="Arial" w:cs="Arial"/>
          <w:bCs/>
          <w:sz w:val="24"/>
        </w:rPr>
        <w:t>的合法权益，依据</w:t>
      </w:r>
      <w:r>
        <w:rPr>
          <w:rFonts w:hint="eastAsia" w:ascii="Arial" w:hAnsi="Arial" w:cs="Arial"/>
          <w:bCs/>
          <w:sz w:val="24"/>
        </w:rPr>
        <w:t>相关</w:t>
      </w:r>
      <w:r>
        <w:rPr>
          <w:rFonts w:ascii="Arial" w:hAnsi="Arial" w:cs="Arial"/>
          <w:bCs/>
          <w:sz w:val="24"/>
        </w:rPr>
        <w:t>法律法规，本着公开、公平、公正的原则，制定本评标办法。</w:t>
      </w:r>
    </w:p>
    <w:p>
      <w:pPr>
        <w:adjustRightInd w:val="0"/>
        <w:snapToGrid w:val="0"/>
        <w:spacing w:line="0" w:lineRule="atLeast"/>
        <w:ind w:right="-10" w:firstLine="472" w:firstLineChars="196"/>
        <w:rPr>
          <w:rFonts w:ascii="Arial" w:hAnsi="Arial" w:cs="Arial"/>
          <w:bCs/>
          <w:sz w:val="24"/>
        </w:rPr>
      </w:pPr>
      <w:r>
        <w:rPr>
          <w:rFonts w:ascii="Arial" w:hAnsi="Arial" w:cs="Arial"/>
          <w:b/>
          <w:bCs/>
          <w:sz w:val="24"/>
        </w:rPr>
        <w:t>第二条</w:t>
      </w:r>
      <w:r>
        <w:rPr>
          <w:rFonts w:ascii="Arial" w:hAnsi="Arial" w:cs="Arial"/>
          <w:bCs/>
          <w:sz w:val="24"/>
        </w:rPr>
        <w:t>本次项目评标办法采用</w:t>
      </w:r>
      <w:r>
        <w:rPr>
          <w:rFonts w:ascii="Arial" w:hAnsi="Arial" w:cs="Arial"/>
          <w:b/>
          <w:bCs/>
          <w:sz w:val="24"/>
        </w:rPr>
        <w:t>综合评分法</w:t>
      </w:r>
      <w:r>
        <w:rPr>
          <w:rFonts w:ascii="Arial" w:hAnsi="Arial" w:cs="Arial"/>
          <w:bCs/>
          <w:sz w:val="24"/>
        </w:rPr>
        <w:t>。</w:t>
      </w:r>
    </w:p>
    <w:p>
      <w:pPr>
        <w:adjustRightInd w:val="0"/>
        <w:snapToGrid w:val="0"/>
        <w:spacing w:line="0" w:lineRule="atLeast"/>
        <w:ind w:right="-10" w:firstLine="472" w:firstLineChars="196"/>
        <w:rPr>
          <w:rFonts w:ascii="Arial" w:hAnsi="Arial" w:cs="Arial"/>
          <w:bCs/>
          <w:sz w:val="24"/>
        </w:rPr>
      </w:pPr>
      <w:r>
        <w:rPr>
          <w:rFonts w:ascii="Arial" w:hAnsi="Arial" w:cs="Arial"/>
          <w:b/>
          <w:bCs/>
          <w:sz w:val="24"/>
        </w:rPr>
        <w:t>第三条</w:t>
      </w:r>
      <w:r>
        <w:rPr>
          <w:rFonts w:ascii="Arial" w:hAnsi="Arial" w:cs="Arial"/>
          <w:bCs/>
          <w:sz w:val="24"/>
        </w:rPr>
        <w:t>本项目将依法组建不少于</w:t>
      </w:r>
      <w:r>
        <w:rPr>
          <w:rFonts w:ascii="Arial" w:hAnsi="Arial" w:cs="Arial"/>
          <w:bCs/>
          <w:sz w:val="24"/>
          <w:u w:val="single"/>
        </w:rPr>
        <w:t>5</w:t>
      </w:r>
      <w:r>
        <w:rPr>
          <w:rFonts w:ascii="Arial" w:hAnsi="Arial" w:cs="Arial"/>
          <w:bCs/>
          <w:sz w:val="24"/>
        </w:rPr>
        <w:t>人组成的评标委员会，负责本项目的评标工作</w:t>
      </w:r>
      <w:r>
        <w:rPr>
          <w:rFonts w:hint="eastAsia" w:ascii="Arial" w:hAnsi="Arial" w:cs="Arial"/>
          <w:bCs/>
          <w:sz w:val="24"/>
        </w:rPr>
        <w:t>，其中，管理、技术、经济等方面的专家不得少于成员总数的三分之二。</w:t>
      </w:r>
    </w:p>
    <w:p>
      <w:pPr>
        <w:adjustRightInd w:val="0"/>
        <w:snapToGrid w:val="0"/>
        <w:spacing w:line="0" w:lineRule="atLeast"/>
        <w:ind w:right="-10" w:firstLine="472" w:firstLineChars="196"/>
        <w:rPr>
          <w:rFonts w:ascii="Arial" w:hAnsi="Arial" w:cs="Arial"/>
          <w:bCs/>
          <w:sz w:val="24"/>
        </w:rPr>
      </w:pPr>
      <w:r>
        <w:rPr>
          <w:rFonts w:ascii="Arial" w:hAnsi="Arial" w:cs="Arial"/>
          <w:b/>
          <w:bCs/>
          <w:sz w:val="24"/>
        </w:rPr>
        <w:t>第四条</w:t>
      </w:r>
      <w:r>
        <w:rPr>
          <w:rFonts w:ascii="Arial" w:hAnsi="Arial" w:cs="Arial"/>
          <w:bCs/>
          <w:sz w:val="24"/>
        </w:rPr>
        <w:t>评标委员会按照</w:t>
      </w:r>
      <w:r>
        <w:rPr>
          <w:rFonts w:hint="eastAsia" w:ascii="Arial" w:hAnsi="Arial" w:cs="Arial"/>
          <w:bCs/>
          <w:sz w:val="24"/>
        </w:rPr>
        <w:t>“</w:t>
      </w:r>
      <w:r>
        <w:rPr>
          <w:rFonts w:ascii="Arial" w:hAnsi="Arial" w:cs="Arial"/>
          <w:bCs/>
          <w:sz w:val="24"/>
        </w:rPr>
        <w:t>客观公正，实事求是</w:t>
      </w:r>
      <w:r>
        <w:rPr>
          <w:rFonts w:hint="eastAsia" w:ascii="Arial" w:hAnsi="Arial" w:cs="Arial"/>
          <w:bCs/>
          <w:sz w:val="24"/>
        </w:rPr>
        <w:t>”</w:t>
      </w:r>
      <w:r>
        <w:rPr>
          <w:rFonts w:ascii="Arial" w:hAnsi="Arial" w:cs="Arial"/>
          <w:bCs/>
          <w:sz w:val="24"/>
        </w:rPr>
        <w:t>的原则，评价参加本次招标的</w:t>
      </w:r>
      <w:r>
        <w:rPr>
          <w:rFonts w:hint="eastAsia" w:ascii="Arial" w:hAnsi="Arial" w:cs="Arial"/>
          <w:bCs/>
          <w:sz w:val="24"/>
        </w:rPr>
        <w:t>供应商</w:t>
      </w:r>
      <w:r>
        <w:rPr>
          <w:rFonts w:ascii="Arial" w:hAnsi="Arial" w:cs="Arial"/>
          <w:bCs/>
          <w:sz w:val="24"/>
        </w:rPr>
        <w:t>所提供的产品价格、性能、质量、服务及对招标文件的符合性及响应性。</w:t>
      </w:r>
    </w:p>
    <w:p>
      <w:pPr>
        <w:adjustRightInd w:val="0"/>
        <w:snapToGrid w:val="0"/>
        <w:spacing w:line="0" w:lineRule="atLeast"/>
        <w:ind w:right="-10"/>
        <w:jc w:val="center"/>
        <w:rPr>
          <w:rFonts w:ascii="Arial" w:hAnsi="Arial" w:cs="Arial"/>
          <w:sz w:val="24"/>
        </w:rPr>
      </w:pPr>
      <w:r>
        <w:rPr>
          <w:rFonts w:ascii="Arial" w:hAnsi="Arial" w:cs="Arial"/>
          <w:b/>
          <w:sz w:val="24"/>
        </w:rPr>
        <w:t>二．评标程序及评审细则</w:t>
      </w:r>
    </w:p>
    <w:p>
      <w:pPr>
        <w:adjustRightInd w:val="0"/>
        <w:snapToGrid w:val="0"/>
        <w:spacing w:line="0" w:lineRule="atLeast"/>
        <w:ind w:right="-10" w:firstLine="480"/>
        <w:rPr>
          <w:rFonts w:ascii="Arial" w:hAnsi="Arial" w:cs="Arial"/>
          <w:sz w:val="24"/>
        </w:rPr>
      </w:pPr>
      <w:r>
        <w:rPr>
          <w:rFonts w:ascii="Arial" w:hAnsi="Arial" w:cs="Arial"/>
          <w:b/>
          <w:sz w:val="24"/>
        </w:rPr>
        <w:t>第五条</w:t>
      </w:r>
      <w:r>
        <w:rPr>
          <w:rFonts w:ascii="Arial" w:hAnsi="Arial" w:cs="Arial"/>
          <w:sz w:val="24"/>
        </w:rPr>
        <w:t>评标工作于开标后进行。评标委员会应认真研究招标文件，至少应了解和熟悉以下内容：</w:t>
      </w:r>
    </w:p>
    <w:p>
      <w:pPr>
        <w:spacing w:line="0" w:lineRule="atLeast"/>
        <w:ind w:right="-10" w:firstLine="480" w:firstLineChars="200"/>
        <w:rPr>
          <w:rFonts w:ascii="Arial" w:hAnsi="Arial" w:cs="Arial"/>
          <w:sz w:val="24"/>
        </w:rPr>
      </w:pPr>
      <w:r>
        <w:rPr>
          <w:rFonts w:ascii="Arial" w:hAnsi="Arial" w:cs="Arial"/>
          <w:sz w:val="24"/>
        </w:rPr>
        <w:t>（一）招标的目标；</w:t>
      </w:r>
    </w:p>
    <w:p>
      <w:pPr>
        <w:spacing w:line="0" w:lineRule="atLeast"/>
        <w:ind w:right="-10" w:firstLine="480" w:firstLineChars="200"/>
        <w:rPr>
          <w:rFonts w:ascii="Arial" w:hAnsi="Arial" w:cs="Arial"/>
          <w:sz w:val="24"/>
        </w:rPr>
      </w:pPr>
      <w:r>
        <w:rPr>
          <w:rFonts w:ascii="Arial" w:hAnsi="Arial" w:cs="Arial"/>
          <w:sz w:val="24"/>
        </w:rPr>
        <w:t>（二）招标项目的范围和性质；</w:t>
      </w:r>
    </w:p>
    <w:p>
      <w:pPr>
        <w:spacing w:line="0" w:lineRule="atLeast"/>
        <w:ind w:right="-10" w:firstLine="480" w:firstLineChars="200"/>
        <w:rPr>
          <w:rFonts w:ascii="Arial" w:hAnsi="Arial" w:cs="Arial"/>
          <w:sz w:val="24"/>
        </w:rPr>
      </w:pPr>
      <w:r>
        <w:rPr>
          <w:rFonts w:ascii="Arial" w:hAnsi="Arial" w:cs="Arial"/>
          <w:sz w:val="24"/>
        </w:rPr>
        <w:t>（三）招标文件中规定的主要技术要求、标准和商务条款；</w:t>
      </w:r>
    </w:p>
    <w:p>
      <w:pPr>
        <w:spacing w:line="0" w:lineRule="atLeast"/>
        <w:ind w:right="-10" w:firstLine="480" w:firstLineChars="200"/>
        <w:rPr>
          <w:rFonts w:ascii="Arial" w:hAnsi="Arial" w:cs="Arial"/>
          <w:sz w:val="24"/>
        </w:rPr>
      </w:pPr>
      <w:r>
        <w:rPr>
          <w:rFonts w:ascii="Arial" w:hAnsi="Arial" w:cs="Arial"/>
          <w:sz w:val="24"/>
        </w:rPr>
        <w:t>（四）招标文件规定的评标标准、评标方法和在评标过程中考虑的相关因素。</w:t>
      </w:r>
    </w:p>
    <w:p>
      <w:pPr>
        <w:adjustRightInd w:val="0"/>
        <w:snapToGrid w:val="0"/>
        <w:spacing w:line="0" w:lineRule="atLeast"/>
        <w:ind w:right="-10" w:firstLine="482" w:firstLineChars="200"/>
        <w:rPr>
          <w:rFonts w:ascii="Arial" w:hAnsi="Arial" w:cs="Arial"/>
          <w:sz w:val="24"/>
        </w:rPr>
      </w:pPr>
      <w:r>
        <w:rPr>
          <w:rFonts w:ascii="Arial" w:hAnsi="Arial" w:cs="Arial"/>
          <w:b/>
          <w:sz w:val="24"/>
        </w:rPr>
        <w:t>第六条</w:t>
      </w:r>
      <w:r>
        <w:rPr>
          <w:rFonts w:ascii="Arial" w:hAnsi="Arial" w:cs="Arial"/>
          <w:sz w:val="24"/>
        </w:rPr>
        <w:t>评标委员会遵循公开、公平、公正和科学诚信的原则，按照招标文件规定的评标办法对投标文件采用相同程序和标准独立进行评定。</w:t>
      </w:r>
    </w:p>
    <w:p>
      <w:pPr>
        <w:adjustRightInd w:val="0"/>
        <w:snapToGrid w:val="0"/>
        <w:spacing w:line="0" w:lineRule="atLeast"/>
        <w:ind w:right="-10" w:firstLine="482" w:firstLineChars="200"/>
        <w:rPr>
          <w:rFonts w:ascii="Arial" w:hAnsi="Arial" w:cs="Arial"/>
          <w:sz w:val="24"/>
        </w:rPr>
      </w:pPr>
      <w:r>
        <w:rPr>
          <w:rFonts w:ascii="Arial" w:hAnsi="Arial" w:cs="Arial"/>
          <w:b/>
          <w:sz w:val="24"/>
        </w:rPr>
        <w:t>第七条</w:t>
      </w:r>
      <w:r>
        <w:rPr>
          <w:rFonts w:ascii="Arial" w:hAnsi="Arial" w:cs="Arial"/>
          <w:sz w:val="24"/>
        </w:rPr>
        <w:t>评审中，评标委员会发现</w:t>
      </w:r>
      <w:r>
        <w:rPr>
          <w:rFonts w:hint="eastAsia" w:ascii="Arial" w:hAnsi="Arial" w:cs="Arial"/>
          <w:sz w:val="24"/>
        </w:rPr>
        <w:t>供应商</w:t>
      </w:r>
      <w:r>
        <w:rPr>
          <w:rFonts w:ascii="Arial" w:hAnsi="Arial" w:cs="Arial"/>
          <w:sz w:val="24"/>
        </w:rPr>
        <w:t>的投标文件中对同类问题表述不一致、前后矛盾、有明显文字和计算错误的内容、有可能不符合招标文件规定等情况需要澄清时，评标委员会将以询标的方式告知并要求</w:t>
      </w:r>
      <w:r>
        <w:rPr>
          <w:rFonts w:hint="eastAsia" w:ascii="Arial" w:hAnsi="Arial" w:cs="Arial"/>
          <w:sz w:val="24"/>
        </w:rPr>
        <w:t>供应商</w:t>
      </w:r>
      <w:r>
        <w:rPr>
          <w:rFonts w:ascii="Arial" w:hAnsi="Arial" w:cs="Arial"/>
          <w:sz w:val="24"/>
        </w:rPr>
        <w:t>以书面方式进行必要的澄清、说明或补正。对于询标后判定为不符合招标文件的投标文件，评标委员会要提出充足的否定理由，并予以书面记录。最终对</w:t>
      </w:r>
      <w:r>
        <w:rPr>
          <w:rFonts w:hint="eastAsia" w:ascii="Arial" w:hAnsi="Arial" w:cs="Arial"/>
          <w:sz w:val="24"/>
        </w:rPr>
        <w:t>供应商</w:t>
      </w:r>
      <w:r>
        <w:rPr>
          <w:rFonts w:ascii="Arial" w:hAnsi="Arial" w:cs="Arial"/>
          <w:sz w:val="24"/>
        </w:rPr>
        <w:t>的评审结论分为通过和未通过。</w:t>
      </w:r>
    </w:p>
    <w:p>
      <w:pPr>
        <w:adjustRightInd w:val="0"/>
        <w:snapToGrid w:val="0"/>
        <w:spacing w:line="0" w:lineRule="atLeast"/>
        <w:ind w:right="-10" w:firstLine="482" w:firstLineChars="200"/>
        <w:rPr>
          <w:rFonts w:ascii="Arial" w:hAnsi="Arial" w:cs="Arial"/>
          <w:sz w:val="24"/>
        </w:rPr>
      </w:pPr>
      <w:r>
        <w:rPr>
          <w:rFonts w:ascii="Arial" w:hAnsi="Arial" w:cs="Arial"/>
          <w:b/>
          <w:sz w:val="24"/>
        </w:rPr>
        <w:t>第八条</w:t>
      </w:r>
      <w:r>
        <w:rPr>
          <w:rFonts w:ascii="Arial" w:hAnsi="Arial" w:cs="Arial"/>
          <w:sz w:val="24"/>
        </w:rPr>
        <w:t>综合评分法，是指投标文件满足招标文件全部实质性要求且按照评审因素的量化指标评审得分最高的</w:t>
      </w:r>
      <w:r>
        <w:rPr>
          <w:rFonts w:hint="eastAsia" w:ascii="Arial" w:hAnsi="Arial" w:cs="Arial"/>
          <w:sz w:val="24"/>
        </w:rPr>
        <w:t>供应商</w:t>
      </w:r>
      <w:r>
        <w:rPr>
          <w:rFonts w:ascii="Arial" w:hAnsi="Arial" w:cs="Arial"/>
          <w:sz w:val="24"/>
        </w:rPr>
        <w:t>为中标候选人的评标方法。满分为100分。评审程序如下：</w:t>
      </w:r>
    </w:p>
    <w:p>
      <w:pPr>
        <w:adjustRightInd w:val="0"/>
        <w:snapToGrid w:val="0"/>
        <w:spacing w:line="0" w:lineRule="atLeast"/>
        <w:ind w:right="-10" w:firstLine="480" w:firstLineChars="200"/>
        <w:rPr>
          <w:rFonts w:ascii="Arial" w:hAnsi="Arial" w:cs="Arial"/>
          <w:bCs/>
          <w:sz w:val="24"/>
        </w:rPr>
      </w:pPr>
      <w:r>
        <w:rPr>
          <w:rFonts w:ascii="Arial" w:hAnsi="Arial" w:cs="Arial"/>
          <w:sz w:val="24"/>
        </w:rPr>
        <w:t>1、评标委员会首先对投标文件进行初审。投标文件应满足招标文件的实质性要求，无重大偏离、保留或</w:t>
      </w:r>
      <w:r>
        <w:rPr>
          <w:rFonts w:hint="eastAsia" w:ascii="Arial" w:hAnsi="Arial" w:cs="Arial"/>
          <w:sz w:val="24"/>
        </w:rPr>
        <w:t>采购人</w:t>
      </w:r>
      <w:r>
        <w:rPr>
          <w:rFonts w:ascii="Arial" w:hAnsi="Arial" w:cs="Arial"/>
          <w:sz w:val="24"/>
        </w:rPr>
        <w:t>不能接收的附加条件。</w:t>
      </w:r>
    </w:p>
    <w:p>
      <w:pPr>
        <w:adjustRightInd w:val="0"/>
        <w:snapToGrid w:val="0"/>
        <w:spacing w:line="0" w:lineRule="atLeast"/>
        <w:ind w:right="-10" w:firstLine="480" w:firstLineChars="200"/>
        <w:rPr>
          <w:rFonts w:ascii="Arial" w:hAnsi="Arial" w:cs="Arial"/>
          <w:bCs/>
          <w:sz w:val="24"/>
        </w:rPr>
      </w:pPr>
      <w:r>
        <w:rPr>
          <w:rFonts w:ascii="Arial" w:hAnsi="Arial" w:cs="Arial"/>
          <w:sz w:val="24"/>
        </w:rPr>
        <w:t>评标委员会按下表内容进行投标资格性、</w:t>
      </w:r>
      <w:r>
        <w:rPr>
          <w:rFonts w:hint="eastAsia" w:ascii="Arial" w:hAnsi="Arial" w:cs="Arial"/>
          <w:sz w:val="24"/>
        </w:rPr>
        <w:t>符合性</w:t>
      </w:r>
      <w:r>
        <w:rPr>
          <w:rFonts w:ascii="Arial" w:hAnsi="Arial" w:cs="Arial"/>
          <w:sz w:val="24"/>
        </w:rPr>
        <w:t>评审。评审时，评标委员会将审查投标文件是否符合招标文件的初审指标要求。如果投标文件未通过投标</w:t>
      </w:r>
      <w:r>
        <w:rPr>
          <w:rFonts w:hint="eastAsia" w:ascii="Arial" w:hAnsi="Arial" w:cs="Arial"/>
          <w:sz w:val="24"/>
        </w:rPr>
        <w:t>初审</w:t>
      </w:r>
      <w:r>
        <w:rPr>
          <w:rFonts w:ascii="Arial" w:hAnsi="Arial" w:cs="Arial"/>
          <w:sz w:val="24"/>
        </w:rPr>
        <w:t>，投标无效。</w:t>
      </w:r>
    </w:p>
    <w:tbl>
      <w:tblPr>
        <w:tblStyle w:val="65"/>
        <w:tblW w:w="916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980"/>
        <w:gridCol w:w="3110"/>
        <w:gridCol w:w="983"/>
        <w:gridCol w:w="23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0" w:hRule="atLeast"/>
          <w:jc w:val="center"/>
        </w:trPr>
        <w:tc>
          <w:tcPr>
            <w:tcW w:w="9161" w:type="dxa"/>
            <w:gridSpan w:val="5"/>
            <w:vAlign w:val="center"/>
          </w:tcPr>
          <w:p>
            <w:pPr>
              <w:pStyle w:val="140"/>
              <w:pBdr>
                <w:bottom w:val="none" w:color="auto" w:sz="0" w:space="0"/>
              </w:pBdr>
              <w:tabs>
                <w:tab w:val="clear" w:pos="4153"/>
                <w:tab w:val="clear" w:pos="8306"/>
              </w:tabs>
              <w:snapToGrid w:val="0"/>
              <w:spacing w:line="240" w:lineRule="auto"/>
              <w:ind w:firstLine="422"/>
              <w:textAlignment w:val="auto"/>
              <w:rPr>
                <w:rFonts w:ascii="Arial" w:hAnsi="Arial" w:cs="Arial"/>
                <w:kern w:val="2"/>
                <w:szCs w:val="24"/>
              </w:rPr>
            </w:pPr>
            <w:r>
              <w:rPr>
                <w:rFonts w:hint="eastAsia" w:ascii="Arial" w:hAnsi="Arial" w:cs="Arial"/>
                <w:b/>
              </w:rPr>
              <w:t>池州学院食堂委托经营项目初</w:t>
            </w:r>
            <w:r>
              <w:rPr>
                <w:rFonts w:ascii="Arial" w:hAnsi="Arial" w:cs="Arial"/>
                <w:b/>
              </w:rPr>
              <w:t>审表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jc w:val="center"/>
        </w:trPr>
        <w:tc>
          <w:tcPr>
            <w:tcW w:w="9161" w:type="dxa"/>
            <w:gridSpan w:val="5"/>
            <w:vAlign w:val="center"/>
          </w:tcPr>
          <w:p>
            <w:pPr>
              <w:adjustRightInd w:val="0"/>
              <w:snapToGrid w:val="0"/>
              <w:rPr>
                <w:rFonts w:ascii="Arial" w:hAnsi="Arial" w:cs="Arial"/>
                <w:sz w:val="24"/>
              </w:rPr>
            </w:pPr>
            <w:r>
              <w:rPr>
                <w:rFonts w:hint="eastAsia" w:ascii="Arial" w:hAnsi="Arial" w:cs="Arial"/>
                <w:sz w:val="24"/>
              </w:rPr>
              <w:t>供应商</w:t>
            </w:r>
            <w:r>
              <w:rPr>
                <w:rFonts w:ascii="Arial" w:hAnsi="Arial" w:cs="Arial"/>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1" w:hRule="atLeast"/>
          <w:jc w:val="center"/>
        </w:trPr>
        <w:tc>
          <w:tcPr>
            <w:tcW w:w="9161" w:type="dxa"/>
            <w:gridSpan w:val="5"/>
            <w:vAlign w:val="center"/>
          </w:tcPr>
          <w:p>
            <w:pPr>
              <w:adjustRightInd w:val="0"/>
              <w:snapToGrid w:val="0"/>
              <w:rPr>
                <w:rFonts w:ascii="Arial" w:hAnsi="Arial" w:cs="Arial"/>
                <w:b/>
                <w:bCs/>
                <w:sz w:val="24"/>
              </w:rPr>
            </w:pPr>
            <w:r>
              <w:rPr>
                <w:rFonts w:ascii="Arial" w:hAnsi="Arial" w:cs="Arial"/>
                <w:b/>
                <w:bCs/>
                <w:sz w:val="24"/>
              </w:rPr>
              <w:t>初审指标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720" w:type="dxa"/>
            <w:tcBorders>
              <w:bottom w:val="single" w:color="auto" w:sz="4" w:space="0"/>
            </w:tcBorders>
            <w:vAlign w:val="center"/>
          </w:tcPr>
          <w:p>
            <w:pPr>
              <w:adjustRightInd w:val="0"/>
              <w:snapToGrid w:val="0"/>
              <w:jc w:val="center"/>
              <w:rPr>
                <w:rFonts w:ascii="Arial" w:hAnsi="Arial" w:cs="Arial"/>
                <w:sz w:val="24"/>
              </w:rPr>
            </w:pPr>
            <w:r>
              <w:rPr>
                <w:rFonts w:ascii="Arial" w:hAnsi="Arial" w:cs="Arial"/>
                <w:sz w:val="24"/>
              </w:rPr>
              <w:t>序号</w:t>
            </w:r>
          </w:p>
        </w:tc>
        <w:tc>
          <w:tcPr>
            <w:tcW w:w="1980" w:type="dxa"/>
            <w:tcBorders>
              <w:bottom w:val="single" w:color="auto" w:sz="4" w:space="0"/>
            </w:tcBorders>
            <w:vAlign w:val="center"/>
          </w:tcPr>
          <w:p>
            <w:pPr>
              <w:pStyle w:val="140"/>
              <w:pBdr>
                <w:bottom w:val="none" w:color="auto" w:sz="0" w:space="0"/>
              </w:pBdr>
              <w:tabs>
                <w:tab w:val="clear" w:pos="4153"/>
                <w:tab w:val="clear" w:pos="8306"/>
              </w:tabs>
              <w:snapToGrid w:val="0"/>
              <w:spacing w:line="240" w:lineRule="auto"/>
              <w:textAlignment w:val="auto"/>
              <w:rPr>
                <w:rFonts w:ascii="Arial" w:hAnsi="Arial" w:cs="Arial"/>
                <w:kern w:val="2"/>
                <w:szCs w:val="24"/>
              </w:rPr>
            </w:pPr>
            <w:r>
              <w:rPr>
                <w:rFonts w:ascii="Arial" w:hAnsi="Arial" w:cs="Arial"/>
                <w:kern w:val="2"/>
                <w:szCs w:val="24"/>
              </w:rPr>
              <w:t>指标名称</w:t>
            </w:r>
          </w:p>
        </w:tc>
        <w:tc>
          <w:tcPr>
            <w:tcW w:w="3110" w:type="dxa"/>
            <w:tcBorders>
              <w:bottom w:val="single" w:color="auto" w:sz="4" w:space="0"/>
            </w:tcBorders>
            <w:vAlign w:val="center"/>
          </w:tcPr>
          <w:p>
            <w:pPr>
              <w:adjustRightInd w:val="0"/>
              <w:snapToGrid w:val="0"/>
              <w:jc w:val="center"/>
              <w:rPr>
                <w:rFonts w:ascii="Arial" w:hAnsi="Arial" w:cs="Arial"/>
                <w:sz w:val="24"/>
              </w:rPr>
            </w:pPr>
            <w:r>
              <w:rPr>
                <w:rFonts w:ascii="Arial" w:hAnsi="Arial" w:cs="Arial"/>
                <w:sz w:val="24"/>
              </w:rPr>
              <w:t>指标要求</w:t>
            </w:r>
          </w:p>
        </w:tc>
        <w:tc>
          <w:tcPr>
            <w:tcW w:w="983" w:type="dxa"/>
            <w:tcBorders>
              <w:bottom w:val="single" w:color="auto" w:sz="4" w:space="0"/>
            </w:tcBorders>
            <w:vAlign w:val="center"/>
          </w:tcPr>
          <w:p>
            <w:pPr>
              <w:adjustRightInd w:val="0"/>
              <w:snapToGrid w:val="0"/>
              <w:jc w:val="center"/>
              <w:rPr>
                <w:rFonts w:ascii="Arial" w:hAnsi="Arial" w:cs="Arial"/>
                <w:sz w:val="24"/>
              </w:rPr>
            </w:pPr>
            <w:r>
              <w:rPr>
                <w:rFonts w:ascii="Arial" w:hAnsi="Arial" w:cs="Arial"/>
                <w:sz w:val="24"/>
              </w:rPr>
              <w:t>是否</w:t>
            </w:r>
          </w:p>
          <w:p>
            <w:pPr>
              <w:adjustRightInd w:val="0"/>
              <w:snapToGrid w:val="0"/>
              <w:jc w:val="center"/>
              <w:rPr>
                <w:rFonts w:ascii="Arial" w:hAnsi="Arial" w:cs="Arial"/>
                <w:sz w:val="24"/>
              </w:rPr>
            </w:pPr>
            <w:r>
              <w:rPr>
                <w:rFonts w:ascii="Arial" w:hAnsi="Arial" w:cs="Arial"/>
                <w:sz w:val="24"/>
              </w:rPr>
              <w:t>通过</w:t>
            </w:r>
          </w:p>
        </w:tc>
        <w:tc>
          <w:tcPr>
            <w:tcW w:w="2368" w:type="dxa"/>
            <w:tcBorders>
              <w:bottom w:val="single" w:color="auto" w:sz="4" w:space="0"/>
            </w:tcBorders>
            <w:vAlign w:val="center"/>
          </w:tcPr>
          <w:p>
            <w:pPr>
              <w:adjustRightInd w:val="0"/>
              <w:snapToGrid w:val="0"/>
              <w:jc w:val="center"/>
              <w:rPr>
                <w:rFonts w:ascii="Arial" w:hAnsi="Arial" w:cs="Arial"/>
                <w:sz w:val="24"/>
              </w:rPr>
            </w:pPr>
            <w:r>
              <w:rPr>
                <w:rFonts w:ascii="Arial" w:hAnsi="Arial" w:cs="Arial"/>
                <w:sz w:val="24"/>
              </w:rPr>
              <w:t>投标文件格式及提交资料要求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92" w:hRule="atLeast"/>
          <w:jc w:val="center"/>
        </w:trPr>
        <w:tc>
          <w:tcPr>
            <w:tcW w:w="720" w:type="dxa"/>
            <w:vAlign w:val="center"/>
          </w:tcPr>
          <w:p>
            <w:pPr>
              <w:numPr>
                <w:ilvl w:val="0"/>
                <w:numId w:val="2"/>
              </w:numPr>
              <w:adjustRightInd w:val="0"/>
              <w:snapToGrid w:val="0"/>
              <w:ind w:left="0" w:firstLine="0"/>
              <w:jc w:val="center"/>
              <w:rPr>
                <w:rFonts w:ascii="Arial" w:hAnsi="Arial" w:cs="Arial"/>
                <w:sz w:val="24"/>
              </w:rPr>
            </w:pPr>
          </w:p>
        </w:tc>
        <w:tc>
          <w:tcPr>
            <w:tcW w:w="1980" w:type="dxa"/>
            <w:vAlign w:val="center"/>
          </w:tcPr>
          <w:p>
            <w:pPr>
              <w:jc w:val="center"/>
              <w:rPr>
                <w:rFonts w:ascii="Arial" w:hAnsi="Arial" w:cs="Arial"/>
                <w:sz w:val="24"/>
                <w:szCs w:val="28"/>
              </w:rPr>
            </w:pPr>
            <w:r>
              <w:rPr>
                <w:rFonts w:ascii="Arial" w:hAnsi="Arial" w:cs="Arial"/>
                <w:sz w:val="24"/>
                <w:szCs w:val="28"/>
              </w:rPr>
              <w:t>营业执照</w:t>
            </w:r>
          </w:p>
        </w:tc>
        <w:tc>
          <w:tcPr>
            <w:tcW w:w="3110" w:type="dxa"/>
            <w:vAlign w:val="center"/>
          </w:tcPr>
          <w:p>
            <w:pPr>
              <w:jc w:val="left"/>
              <w:rPr>
                <w:rFonts w:ascii="Arial" w:hAnsi="Arial" w:cs="Arial"/>
                <w:sz w:val="24"/>
                <w:szCs w:val="28"/>
              </w:rPr>
            </w:pPr>
            <w:r>
              <w:rPr>
                <w:rFonts w:ascii="Arial" w:hAnsi="Arial" w:cs="Arial"/>
                <w:sz w:val="24"/>
                <w:szCs w:val="28"/>
              </w:rPr>
              <w:t>合法有效</w:t>
            </w:r>
            <w:r>
              <w:rPr>
                <w:rFonts w:hint="eastAsia" w:ascii="Arial" w:hAnsi="Arial" w:cs="Arial"/>
                <w:sz w:val="24"/>
                <w:szCs w:val="28"/>
              </w:rPr>
              <w:t>并</w:t>
            </w:r>
            <w:r>
              <w:rPr>
                <w:rFonts w:ascii="Arial" w:hAnsi="Arial" w:cs="Arial"/>
                <w:sz w:val="24"/>
                <w:szCs w:val="28"/>
              </w:rPr>
              <w:t>加盖</w:t>
            </w:r>
            <w:r>
              <w:rPr>
                <w:rFonts w:hint="eastAsia" w:ascii="Arial" w:hAnsi="Arial" w:cs="Arial"/>
                <w:sz w:val="24"/>
                <w:szCs w:val="28"/>
              </w:rPr>
              <w:t>供应商</w:t>
            </w:r>
            <w:r>
              <w:rPr>
                <w:rFonts w:ascii="Arial" w:hAnsi="Arial" w:cs="Arial"/>
                <w:sz w:val="24"/>
                <w:szCs w:val="28"/>
              </w:rPr>
              <w:t>公章</w:t>
            </w:r>
          </w:p>
        </w:tc>
        <w:tc>
          <w:tcPr>
            <w:tcW w:w="983" w:type="dxa"/>
            <w:vAlign w:val="center"/>
          </w:tcPr>
          <w:p>
            <w:pPr>
              <w:adjustRightInd w:val="0"/>
              <w:snapToGrid w:val="0"/>
              <w:jc w:val="center"/>
              <w:rPr>
                <w:rFonts w:ascii="Arial" w:hAnsi="Arial" w:cs="Arial"/>
                <w:sz w:val="24"/>
              </w:rPr>
            </w:pPr>
          </w:p>
        </w:tc>
        <w:tc>
          <w:tcPr>
            <w:tcW w:w="2368" w:type="dxa"/>
            <w:vAlign w:val="center"/>
          </w:tcPr>
          <w:p>
            <w:pPr>
              <w:adjustRightInd w:val="0"/>
              <w:snapToGrid w:val="0"/>
              <w:jc w:val="center"/>
              <w:rPr>
                <w:rFonts w:ascii="Arial" w:hAnsi="Arial" w:cs="Arial"/>
                <w:sz w:val="24"/>
              </w:rPr>
            </w:pPr>
            <w:r>
              <w:rPr>
                <w:rFonts w:ascii="Arial" w:hAnsi="Arial" w:cs="Arial"/>
                <w:sz w:val="24"/>
              </w:rPr>
              <w:t>提供有效的营业执照复印件或影印件，应完整的体现出营业执照的全部内容。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1" w:hRule="atLeast"/>
          <w:jc w:val="center"/>
        </w:trPr>
        <w:tc>
          <w:tcPr>
            <w:tcW w:w="720" w:type="dxa"/>
            <w:vAlign w:val="center"/>
          </w:tcPr>
          <w:p>
            <w:pPr>
              <w:numPr>
                <w:ilvl w:val="0"/>
                <w:numId w:val="2"/>
              </w:numPr>
              <w:adjustRightInd w:val="0"/>
              <w:snapToGrid w:val="0"/>
              <w:ind w:left="0" w:firstLine="0"/>
              <w:jc w:val="center"/>
              <w:rPr>
                <w:rFonts w:ascii="Arial" w:hAnsi="Arial" w:cs="Arial"/>
                <w:sz w:val="24"/>
              </w:rPr>
            </w:pPr>
          </w:p>
        </w:tc>
        <w:tc>
          <w:tcPr>
            <w:tcW w:w="1980" w:type="dxa"/>
            <w:vAlign w:val="center"/>
          </w:tcPr>
          <w:p>
            <w:pPr>
              <w:jc w:val="center"/>
              <w:rPr>
                <w:rFonts w:ascii="Arial" w:hAnsi="Arial" w:cs="Arial"/>
                <w:sz w:val="24"/>
                <w:szCs w:val="28"/>
              </w:rPr>
            </w:pPr>
            <w:r>
              <w:rPr>
                <w:rFonts w:hint="eastAsia" w:ascii="Arial" w:hAnsi="Arial" w:cs="Arial"/>
                <w:sz w:val="24"/>
                <w:szCs w:val="28"/>
              </w:rPr>
              <w:t>供应商资格</w:t>
            </w:r>
          </w:p>
        </w:tc>
        <w:tc>
          <w:tcPr>
            <w:tcW w:w="3110" w:type="dxa"/>
            <w:vAlign w:val="center"/>
          </w:tcPr>
          <w:p>
            <w:pPr>
              <w:jc w:val="left"/>
              <w:rPr>
                <w:rFonts w:ascii="Arial" w:hAnsi="Arial" w:cs="Arial"/>
                <w:sz w:val="24"/>
                <w:szCs w:val="28"/>
              </w:rPr>
            </w:pPr>
            <w:r>
              <w:rPr>
                <w:rFonts w:hint="eastAsia" w:ascii="Arial" w:hAnsi="Arial" w:cs="Arial"/>
                <w:sz w:val="24"/>
                <w:szCs w:val="28"/>
              </w:rPr>
              <w:t>符合招标公告中要求</w:t>
            </w:r>
          </w:p>
        </w:tc>
        <w:tc>
          <w:tcPr>
            <w:tcW w:w="983" w:type="dxa"/>
            <w:vAlign w:val="center"/>
          </w:tcPr>
          <w:p>
            <w:pPr>
              <w:adjustRightInd w:val="0"/>
              <w:snapToGrid w:val="0"/>
              <w:jc w:val="center"/>
              <w:rPr>
                <w:rFonts w:ascii="Arial" w:hAnsi="Arial" w:cs="Arial"/>
                <w:sz w:val="24"/>
              </w:rPr>
            </w:pPr>
          </w:p>
        </w:tc>
        <w:tc>
          <w:tcPr>
            <w:tcW w:w="2368" w:type="dxa"/>
            <w:vAlign w:val="center"/>
          </w:tcPr>
          <w:p>
            <w:pPr>
              <w:adjustRightInd w:val="0"/>
              <w:snapToGrid w:val="0"/>
              <w:jc w:val="center"/>
              <w:rPr>
                <w:rFonts w:ascii="Arial" w:hAnsi="Arial"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jc w:val="center"/>
        </w:trPr>
        <w:tc>
          <w:tcPr>
            <w:tcW w:w="720" w:type="dxa"/>
            <w:vAlign w:val="center"/>
          </w:tcPr>
          <w:p>
            <w:pPr>
              <w:numPr>
                <w:ilvl w:val="0"/>
                <w:numId w:val="2"/>
              </w:numPr>
              <w:adjustRightInd w:val="0"/>
              <w:snapToGrid w:val="0"/>
              <w:ind w:left="0" w:firstLine="0"/>
              <w:jc w:val="center"/>
              <w:rPr>
                <w:rFonts w:ascii="Arial" w:hAnsi="Arial" w:cs="Arial"/>
                <w:sz w:val="24"/>
              </w:rPr>
            </w:pPr>
          </w:p>
        </w:tc>
        <w:tc>
          <w:tcPr>
            <w:tcW w:w="1980" w:type="dxa"/>
            <w:vAlign w:val="center"/>
          </w:tcPr>
          <w:p>
            <w:pPr>
              <w:jc w:val="center"/>
              <w:rPr>
                <w:rFonts w:ascii="Arial" w:hAnsi="Arial" w:cs="Arial"/>
                <w:sz w:val="24"/>
                <w:szCs w:val="28"/>
              </w:rPr>
            </w:pPr>
            <w:r>
              <w:rPr>
                <w:rFonts w:hint="eastAsia" w:ascii="Arial" w:hAnsi="Arial" w:cs="Arial"/>
                <w:sz w:val="24"/>
                <w:szCs w:val="28"/>
              </w:rPr>
              <w:t>开标一览表</w:t>
            </w:r>
          </w:p>
        </w:tc>
        <w:tc>
          <w:tcPr>
            <w:tcW w:w="3110" w:type="dxa"/>
            <w:vAlign w:val="center"/>
          </w:tcPr>
          <w:p>
            <w:pPr>
              <w:jc w:val="left"/>
              <w:rPr>
                <w:rFonts w:ascii="Arial" w:hAnsi="Arial" w:cs="Arial"/>
                <w:sz w:val="24"/>
                <w:szCs w:val="28"/>
              </w:rPr>
            </w:pPr>
            <w:r>
              <w:rPr>
                <w:rFonts w:ascii="Arial" w:hAnsi="Arial" w:cs="Arial"/>
                <w:sz w:val="24"/>
                <w:szCs w:val="28"/>
              </w:rPr>
              <w:t>格式、填写要求符合招标文件规定并加盖</w:t>
            </w:r>
            <w:r>
              <w:rPr>
                <w:rFonts w:hint="eastAsia" w:ascii="Arial" w:hAnsi="Arial" w:cs="Arial"/>
                <w:sz w:val="24"/>
                <w:szCs w:val="28"/>
              </w:rPr>
              <w:t>供应商</w:t>
            </w:r>
            <w:r>
              <w:rPr>
                <w:rFonts w:ascii="Arial" w:hAnsi="Arial" w:cs="Arial"/>
                <w:sz w:val="24"/>
                <w:szCs w:val="28"/>
              </w:rPr>
              <w:t>公章</w:t>
            </w:r>
          </w:p>
        </w:tc>
        <w:tc>
          <w:tcPr>
            <w:tcW w:w="983" w:type="dxa"/>
            <w:vAlign w:val="center"/>
          </w:tcPr>
          <w:p>
            <w:pPr>
              <w:adjustRightInd w:val="0"/>
              <w:snapToGrid w:val="0"/>
              <w:jc w:val="center"/>
              <w:rPr>
                <w:rFonts w:ascii="Arial" w:hAnsi="Arial" w:cs="Arial"/>
                <w:sz w:val="24"/>
              </w:rPr>
            </w:pPr>
          </w:p>
        </w:tc>
        <w:tc>
          <w:tcPr>
            <w:tcW w:w="2368" w:type="dxa"/>
            <w:vAlign w:val="center"/>
          </w:tcPr>
          <w:p>
            <w:pPr>
              <w:adjustRightInd w:val="0"/>
              <w:snapToGrid w:val="0"/>
              <w:jc w:val="center"/>
              <w:rPr>
                <w:rFonts w:ascii="Arial" w:hAnsi="Arial" w:cs="Arial"/>
                <w:sz w:val="24"/>
              </w:rPr>
            </w:pPr>
            <w:r>
              <w:rPr>
                <w:rFonts w:ascii="Arial" w:hAnsi="Arial" w:cs="Arial"/>
                <w:sz w:val="24"/>
              </w:rPr>
              <w:t>第七章</w:t>
            </w:r>
          </w:p>
          <w:p>
            <w:pPr>
              <w:adjustRightInd w:val="0"/>
              <w:snapToGrid w:val="0"/>
              <w:jc w:val="center"/>
              <w:rPr>
                <w:rFonts w:ascii="Arial" w:hAnsi="Arial" w:cs="Arial"/>
                <w:sz w:val="24"/>
              </w:rPr>
            </w:pPr>
            <w:r>
              <w:rPr>
                <w:rFonts w:ascii="Arial" w:hAnsi="Arial" w:cs="Arial"/>
                <w:sz w:val="24"/>
              </w:rPr>
              <w:t>投标文件格式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8" w:hRule="atLeast"/>
          <w:jc w:val="center"/>
        </w:trPr>
        <w:tc>
          <w:tcPr>
            <w:tcW w:w="720" w:type="dxa"/>
            <w:vAlign w:val="center"/>
          </w:tcPr>
          <w:p>
            <w:pPr>
              <w:numPr>
                <w:ilvl w:val="0"/>
                <w:numId w:val="2"/>
              </w:numPr>
              <w:adjustRightInd w:val="0"/>
              <w:snapToGrid w:val="0"/>
              <w:ind w:left="0" w:firstLine="0"/>
              <w:jc w:val="center"/>
              <w:rPr>
                <w:rFonts w:ascii="Arial" w:hAnsi="Arial" w:cs="Arial"/>
                <w:sz w:val="24"/>
              </w:rPr>
            </w:pPr>
          </w:p>
        </w:tc>
        <w:tc>
          <w:tcPr>
            <w:tcW w:w="1980" w:type="dxa"/>
            <w:vAlign w:val="center"/>
          </w:tcPr>
          <w:p>
            <w:pPr>
              <w:jc w:val="center"/>
              <w:rPr>
                <w:rFonts w:ascii="Arial" w:hAnsi="Arial" w:cs="Arial"/>
                <w:sz w:val="24"/>
                <w:szCs w:val="28"/>
              </w:rPr>
            </w:pPr>
            <w:r>
              <w:rPr>
                <w:rFonts w:ascii="Arial" w:hAnsi="Arial" w:cs="Arial"/>
                <w:sz w:val="24"/>
                <w:szCs w:val="28"/>
              </w:rPr>
              <w:t>投标函</w:t>
            </w:r>
          </w:p>
        </w:tc>
        <w:tc>
          <w:tcPr>
            <w:tcW w:w="3110" w:type="dxa"/>
            <w:vAlign w:val="center"/>
          </w:tcPr>
          <w:p>
            <w:pPr>
              <w:jc w:val="left"/>
              <w:rPr>
                <w:rFonts w:ascii="Arial" w:hAnsi="Arial" w:cs="Arial"/>
                <w:sz w:val="24"/>
                <w:szCs w:val="28"/>
              </w:rPr>
            </w:pPr>
            <w:r>
              <w:rPr>
                <w:rFonts w:ascii="Arial" w:hAnsi="Arial" w:cs="Arial"/>
                <w:sz w:val="24"/>
                <w:szCs w:val="28"/>
              </w:rPr>
              <w:t>格式、填写要求符合招标文件规定并加盖</w:t>
            </w:r>
            <w:r>
              <w:rPr>
                <w:rFonts w:hint="eastAsia" w:ascii="Arial" w:hAnsi="Arial" w:cs="Arial"/>
                <w:sz w:val="24"/>
                <w:szCs w:val="28"/>
              </w:rPr>
              <w:t>供应商</w:t>
            </w:r>
            <w:r>
              <w:rPr>
                <w:rFonts w:ascii="Arial" w:hAnsi="Arial" w:cs="Arial"/>
                <w:sz w:val="24"/>
                <w:szCs w:val="28"/>
              </w:rPr>
              <w:t>公章</w:t>
            </w:r>
          </w:p>
        </w:tc>
        <w:tc>
          <w:tcPr>
            <w:tcW w:w="983" w:type="dxa"/>
            <w:vAlign w:val="center"/>
          </w:tcPr>
          <w:p>
            <w:pPr>
              <w:adjustRightInd w:val="0"/>
              <w:snapToGrid w:val="0"/>
              <w:jc w:val="center"/>
              <w:rPr>
                <w:rFonts w:ascii="Arial" w:hAnsi="Arial" w:cs="Arial"/>
                <w:sz w:val="24"/>
              </w:rPr>
            </w:pPr>
          </w:p>
        </w:tc>
        <w:tc>
          <w:tcPr>
            <w:tcW w:w="2368" w:type="dxa"/>
            <w:vAlign w:val="center"/>
          </w:tcPr>
          <w:p>
            <w:pPr>
              <w:adjustRightInd w:val="0"/>
              <w:snapToGrid w:val="0"/>
              <w:jc w:val="center"/>
              <w:rPr>
                <w:rFonts w:ascii="Arial" w:hAnsi="Arial" w:cs="Arial"/>
                <w:sz w:val="24"/>
              </w:rPr>
            </w:pPr>
            <w:r>
              <w:rPr>
                <w:rFonts w:ascii="Arial" w:hAnsi="Arial" w:cs="Arial"/>
                <w:sz w:val="24"/>
              </w:rPr>
              <w:t>第七章</w:t>
            </w:r>
          </w:p>
          <w:p>
            <w:pPr>
              <w:adjustRightInd w:val="0"/>
              <w:snapToGrid w:val="0"/>
              <w:jc w:val="center"/>
              <w:rPr>
                <w:rFonts w:ascii="Arial" w:hAnsi="Arial" w:cs="Arial"/>
                <w:sz w:val="24"/>
              </w:rPr>
            </w:pPr>
            <w:r>
              <w:rPr>
                <w:rFonts w:ascii="Arial" w:hAnsi="Arial" w:cs="Arial"/>
                <w:sz w:val="24"/>
              </w:rPr>
              <w:t>投标文件格式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3" w:hRule="atLeast"/>
          <w:jc w:val="center"/>
        </w:trPr>
        <w:tc>
          <w:tcPr>
            <w:tcW w:w="720" w:type="dxa"/>
            <w:vAlign w:val="center"/>
          </w:tcPr>
          <w:p>
            <w:pPr>
              <w:numPr>
                <w:ilvl w:val="0"/>
                <w:numId w:val="2"/>
              </w:numPr>
              <w:adjustRightInd w:val="0"/>
              <w:snapToGrid w:val="0"/>
              <w:ind w:left="0" w:firstLine="0"/>
              <w:jc w:val="center"/>
              <w:rPr>
                <w:rFonts w:ascii="Arial" w:hAnsi="Arial" w:cs="Arial"/>
                <w:sz w:val="24"/>
              </w:rPr>
            </w:pPr>
          </w:p>
        </w:tc>
        <w:tc>
          <w:tcPr>
            <w:tcW w:w="1980" w:type="dxa"/>
            <w:vAlign w:val="center"/>
          </w:tcPr>
          <w:p>
            <w:pPr>
              <w:jc w:val="center"/>
              <w:rPr>
                <w:rFonts w:ascii="Arial" w:hAnsi="Arial" w:cs="Arial"/>
                <w:sz w:val="24"/>
                <w:szCs w:val="28"/>
              </w:rPr>
            </w:pPr>
            <w:r>
              <w:rPr>
                <w:rFonts w:ascii="Arial" w:hAnsi="Arial" w:cs="Arial"/>
                <w:sz w:val="24"/>
                <w:szCs w:val="28"/>
              </w:rPr>
              <w:t>无不良信用记录承诺函、无重大违法记录声明函</w:t>
            </w:r>
          </w:p>
        </w:tc>
        <w:tc>
          <w:tcPr>
            <w:tcW w:w="3110" w:type="dxa"/>
            <w:vAlign w:val="center"/>
          </w:tcPr>
          <w:p>
            <w:pPr>
              <w:jc w:val="left"/>
              <w:rPr>
                <w:rFonts w:ascii="Arial" w:hAnsi="Arial" w:cs="Arial"/>
                <w:sz w:val="24"/>
                <w:szCs w:val="28"/>
              </w:rPr>
            </w:pPr>
            <w:r>
              <w:rPr>
                <w:rFonts w:ascii="Arial" w:hAnsi="Arial" w:cs="Arial"/>
                <w:sz w:val="24"/>
                <w:szCs w:val="28"/>
              </w:rPr>
              <w:t>格式、填写要求符合招标文件规定并加盖</w:t>
            </w:r>
            <w:r>
              <w:rPr>
                <w:rFonts w:hint="eastAsia" w:ascii="Arial" w:hAnsi="Arial" w:cs="Arial"/>
                <w:sz w:val="24"/>
                <w:szCs w:val="28"/>
              </w:rPr>
              <w:t>供应商</w:t>
            </w:r>
            <w:r>
              <w:rPr>
                <w:rFonts w:ascii="Arial" w:hAnsi="Arial" w:cs="Arial"/>
                <w:sz w:val="24"/>
                <w:szCs w:val="28"/>
              </w:rPr>
              <w:t>公章</w:t>
            </w:r>
          </w:p>
        </w:tc>
        <w:tc>
          <w:tcPr>
            <w:tcW w:w="983" w:type="dxa"/>
            <w:vAlign w:val="center"/>
          </w:tcPr>
          <w:p>
            <w:pPr>
              <w:adjustRightInd w:val="0"/>
              <w:snapToGrid w:val="0"/>
              <w:jc w:val="center"/>
              <w:rPr>
                <w:rFonts w:ascii="Arial" w:hAnsi="Arial" w:cs="Arial"/>
                <w:sz w:val="24"/>
              </w:rPr>
            </w:pPr>
          </w:p>
        </w:tc>
        <w:tc>
          <w:tcPr>
            <w:tcW w:w="2368" w:type="dxa"/>
            <w:vAlign w:val="center"/>
          </w:tcPr>
          <w:p>
            <w:pPr>
              <w:adjustRightInd w:val="0"/>
              <w:snapToGrid w:val="0"/>
              <w:jc w:val="center"/>
              <w:rPr>
                <w:rFonts w:ascii="Arial" w:hAnsi="Arial" w:cs="Arial"/>
                <w:sz w:val="24"/>
              </w:rPr>
            </w:pPr>
            <w:r>
              <w:rPr>
                <w:rFonts w:ascii="Arial" w:hAnsi="Arial" w:cs="Arial"/>
                <w:sz w:val="24"/>
              </w:rPr>
              <w:t>第七章</w:t>
            </w:r>
          </w:p>
          <w:p>
            <w:pPr>
              <w:adjustRightInd w:val="0"/>
              <w:snapToGrid w:val="0"/>
              <w:jc w:val="center"/>
              <w:rPr>
                <w:rFonts w:ascii="Arial" w:hAnsi="Arial" w:cs="Arial"/>
                <w:sz w:val="24"/>
              </w:rPr>
            </w:pPr>
            <w:r>
              <w:rPr>
                <w:rFonts w:ascii="Arial" w:hAnsi="Arial" w:cs="Arial"/>
                <w:sz w:val="24"/>
              </w:rPr>
              <w:t>投标文件格式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9" w:hRule="atLeast"/>
          <w:jc w:val="center"/>
        </w:trPr>
        <w:tc>
          <w:tcPr>
            <w:tcW w:w="720" w:type="dxa"/>
            <w:vAlign w:val="center"/>
          </w:tcPr>
          <w:p>
            <w:pPr>
              <w:numPr>
                <w:ilvl w:val="0"/>
                <w:numId w:val="2"/>
              </w:numPr>
              <w:adjustRightInd w:val="0"/>
              <w:snapToGrid w:val="0"/>
              <w:ind w:left="0" w:firstLine="0"/>
              <w:jc w:val="center"/>
              <w:rPr>
                <w:rFonts w:ascii="Arial" w:hAnsi="Arial" w:cs="Arial"/>
                <w:sz w:val="24"/>
              </w:rPr>
            </w:pPr>
          </w:p>
        </w:tc>
        <w:tc>
          <w:tcPr>
            <w:tcW w:w="1980" w:type="dxa"/>
            <w:vAlign w:val="center"/>
          </w:tcPr>
          <w:p>
            <w:pPr>
              <w:jc w:val="center"/>
              <w:rPr>
                <w:rFonts w:ascii="Arial" w:hAnsi="Arial" w:cs="Arial"/>
                <w:sz w:val="24"/>
                <w:szCs w:val="28"/>
              </w:rPr>
            </w:pPr>
            <w:r>
              <w:rPr>
                <w:rFonts w:ascii="Arial" w:hAnsi="Arial" w:cs="Arial"/>
                <w:sz w:val="24"/>
                <w:szCs w:val="28"/>
              </w:rPr>
              <w:t>投标授权书</w:t>
            </w:r>
          </w:p>
        </w:tc>
        <w:tc>
          <w:tcPr>
            <w:tcW w:w="3110" w:type="dxa"/>
            <w:vAlign w:val="center"/>
          </w:tcPr>
          <w:p>
            <w:pPr>
              <w:jc w:val="left"/>
              <w:rPr>
                <w:rFonts w:ascii="Arial" w:hAnsi="Arial" w:cs="Arial"/>
                <w:sz w:val="24"/>
                <w:szCs w:val="28"/>
              </w:rPr>
            </w:pPr>
            <w:r>
              <w:rPr>
                <w:rFonts w:ascii="Arial" w:hAnsi="Arial" w:cs="Arial"/>
                <w:sz w:val="24"/>
                <w:szCs w:val="28"/>
              </w:rPr>
              <w:t>格式、填写要求符合招标文件规定并加盖</w:t>
            </w:r>
            <w:r>
              <w:rPr>
                <w:rFonts w:hint="eastAsia" w:ascii="Arial" w:hAnsi="Arial" w:cs="Arial"/>
                <w:sz w:val="24"/>
                <w:szCs w:val="28"/>
              </w:rPr>
              <w:t>供应商</w:t>
            </w:r>
            <w:r>
              <w:rPr>
                <w:rFonts w:ascii="Arial" w:hAnsi="Arial" w:cs="Arial"/>
                <w:sz w:val="24"/>
                <w:szCs w:val="28"/>
              </w:rPr>
              <w:t>公章</w:t>
            </w:r>
          </w:p>
        </w:tc>
        <w:tc>
          <w:tcPr>
            <w:tcW w:w="983" w:type="dxa"/>
            <w:vAlign w:val="center"/>
          </w:tcPr>
          <w:p>
            <w:pPr>
              <w:adjustRightInd w:val="0"/>
              <w:snapToGrid w:val="0"/>
              <w:jc w:val="center"/>
              <w:rPr>
                <w:rFonts w:ascii="Arial" w:hAnsi="Arial" w:cs="Arial"/>
                <w:sz w:val="24"/>
              </w:rPr>
            </w:pPr>
          </w:p>
        </w:tc>
        <w:tc>
          <w:tcPr>
            <w:tcW w:w="2368" w:type="dxa"/>
            <w:vAlign w:val="center"/>
          </w:tcPr>
          <w:p>
            <w:pPr>
              <w:adjustRightInd w:val="0"/>
              <w:snapToGrid w:val="0"/>
              <w:jc w:val="center"/>
              <w:rPr>
                <w:rFonts w:ascii="Arial" w:hAnsi="Arial" w:cs="Arial"/>
                <w:sz w:val="24"/>
              </w:rPr>
            </w:pPr>
            <w:r>
              <w:rPr>
                <w:rFonts w:ascii="Arial" w:hAnsi="Arial" w:cs="Arial"/>
                <w:sz w:val="24"/>
              </w:rPr>
              <w:t>第七章</w:t>
            </w:r>
          </w:p>
          <w:p>
            <w:pPr>
              <w:adjustRightInd w:val="0"/>
              <w:snapToGrid w:val="0"/>
              <w:jc w:val="center"/>
              <w:rPr>
                <w:rFonts w:ascii="Arial" w:hAnsi="Arial" w:cs="Arial"/>
                <w:sz w:val="24"/>
              </w:rPr>
            </w:pPr>
            <w:r>
              <w:rPr>
                <w:rFonts w:ascii="Arial" w:hAnsi="Arial" w:cs="Arial"/>
                <w:sz w:val="24"/>
              </w:rPr>
              <w:t>投标文件格式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09" w:hRule="atLeast"/>
          <w:jc w:val="center"/>
        </w:trPr>
        <w:tc>
          <w:tcPr>
            <w:tcW w:w="720" w:type="dxa"/>
            <w:vAlign w:val="center"/>
          </w:tcPr>
          <w:p>
            <w:pPr>
              <w:numPr>
                <w:ilvl w:val="0"/>
                <w:numId w:val="2"/>
              </w:numPr>
              <w:adjustRightInd w:val="0"/>
              <w:snapToGrid w:val="0"/>
              <w:ind w:left="0" w:firstLine="0"/>
              <w:jc w:val="center"/>
              <w:rPr>
                <w:rFonts w:ascii="Arial" w:hAnsi="Arial" w:cs="Arial"/>
                <w:sz w:val="24"/>
              </w:rPr>
            </w:pPr>
          </w:p>
        </w:tc>
        <w:tc>
          <w:tcPr>
            <w:tcW w:w="1980" w:type="dxa"/>
            <w:vAlign w:val="center"/>
          </w:tcPr>
          <w:p>
            <w:pPr>
              <w:jc w:val="center"/>
              <w:rPr>
                <w:rFonts w:ascii="Arial" w:hAnsi="Arial" w:cs="Arial"/>
                <w:sz w:val="24"/>
                <w:szCs w:val="28"/>
              </w:rPr>
            </w:pPr>
            <w:r>
              <w:rPr>
                <w:rFonts w:hint="eastAsia" w:ascii="Arial" w:hAnsi="Arial" w:cs="Arial"/>
                <w:sz w:val="24"/>
                <w:szCs w:val="28"/>
              </w:rPr>
              <w:t>报名情况</w:t>
            </w:r>
          </w:p>
        </w:tc>
        <w:tc>
          <w:tcPr>
            <w:tcW w:w="3110" w:type="dxa"/>
            <w:vAlign w:val="center"/>
          </w:tcPr>
          <w:p>
            <w:pPr>
              <w:jc w:val="left"/>
              <w:rPr>
                <w:rFonts w:ascii="Arial" w:hAnsi="Arial" w:cs="Arial"/>
                <w:sz w:val="24"/>
                <w:szCs w:val="28"/>
              </w:rPr>
            </w:pPr>
            <w:r>
              <w:rPr>
                <w:rFonts w:hint="eastAsia" w:ascii="Arial" w:hAnsi="Arial" w:cs="Arial"/>
                <w:sz w:val="24"/>
                <w:szCs w:val="28"/>
              </w:rPr>
              <w:t>未在报名截止时间前完成招标文件规定报名手续并缴纳费用的，投标无效</w:t>
            </w:r>
          </w:p>
        </w:tc>
        <w:tc>
          <w:tcPr>
            <w:tcW w:w="983" w:type="dxa"/>
            <w:vAlign w:val="center"/>
          </w:tcPr>
          <w:p>
            <w:pPr>
              <w:adjustRightInd w:val="0"/>
              <w:snapToGrid w:val="0"/>
              <w:jc w:val="center"/>
              <w:rPr>
                <w:rFonts w:ascii="Arial" w:hAnsi="Arial" w:cs="Arial"/>
                <w:sz w:val="24"/>
              </w:rPr>
            </w:pPr>
          </w:p>
        </w:tc>
        <w:tc>
          <w:tcPr>
            <w:tcW w:w="2368" w:type="dxa"/>
            <w:vAlign w:val="center"/>
          </w:tcPr>
          <w:p>
            <w:pPr>
              <w:adjustRightInd w:val="0"/>
              <w:snapToGrid w:val="0"/>
              <w:jc w:val="center"/>
              <w:rPr>
                <w:rFonts w:ascii="Arial" w:hAnsi="Arial"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8" w:hRule="atLeast"/>
          <w:jc w:val="center"/>
        </w:trPr>
        <w:tc>
          <w:tcPr>
            <w:tcW w:w="720" w:type="dxa"/>
            <w:vAlign w:val="center"/>
          </w:tcPr>
          <w:p>
            <w:pPr>
              <w:numPr>
                <w:ilvl w:val="0"/>
                <w:numId w:val="2"/>
              </w:numPr>
              <w:adjustRightInd w:val="0"/>
              <w:snapToGrid w:val="0"/>
              <w:ind w:left="0" w:firstLine="0"/>
              <w:jc w:val="center"/>
              <w:rPr>
                <w:rFonts w:ascii="Arial" w:hAnsi="Arial" w:cs="Arial"/>
                <w:sz w:val="24"/>
              </w:rPr>
            </w:pPr>
          </w:p>
        </w:tc>
        <w:tc>
          <w:tcPr>
            <w:tcW w:w="1980" w:type="dxa"/>
            <w:vAlign w:val="center"/>
          </w:tcPr>
          <w:p>
            <w:pPr>
              <w:jc w:val="center"/>
              <w:rPr>
                <w:rFonts w:ascii="Arial" w:hAnsi="Arial" w:cs="Arial"/>
                <w:sz w:val="24"/>
                <w:szCs w:val="28"/>
              </w:rPr>
            </w:pPr>
            <w:r>
              <w:rPr>
                <w:rFonts w:ascii="Arial" w:hAnsi="Arial" w:cs="Arial"/>
                <w:sz w:val="24"/>
                <w:szCs w:val="28"/>
              </w:rPr>
              <w:t>投标保证金</w:t>
            </w:r>
          </w:p>
        </w:tc>
        <w:tc>
          <w:tcPr>
            <w:tcW w:w="3110" w:type="dxa"/>
            <w:vAlign w:val="center"/>
          </w:tcPr>
          <w:p>
            <w:pPr>
              <w:jc w:val="left"/>
              <w:rPr>
                <w:rFonts w:ascii="Arial" w:hAnsi="Arial" w:cs="Arial"/>
                <w:sz w:val="24"/>
                <w:szCs w:val="28"/>
              </w:rPr>
            </w:pPr>
            <w:r>
              <w:rPr>
                <w:rFonts w:ascii="Arial" w:hAnsi="Arial" w:cs="Arial"/>
                <w:sz w:val="24"/>
                <w:szCs w:val="28"/>
              </w:rPr>
              <w:t>符合招标文件要求</w:t>
            </w:r>
          </w:p>
        </w:tc>
        <w:tc>
          <w:tcPr>
            <w:tcW w:w="983" w:type="dxa"/>
            <w:vAlign w:val="center"/>
          </w:tcPr>
          <w:p>
            <w:pPr>
              <w:adjustRightInd w:val="0"/>
              <w:snapToGrid w:val="0"/>
              <w:jc w:val="center"/>
              <w:rPr>
                <w:rFonts w:ascii="Arial" w:hAnsi="Arial" w:cs="Arial"/>
                <w:sz w:val="24"/>
              </w:rPr>
            </w:pPr>
          </w:p>
        </w:tc>
        <w:tc>
          <w:tcPr>
            <w:tcW w:w="2368" w:type="dxa"/>
            <w:vAlign w:val="center"/>
          </w:tcPr>
          <w:p>
            <w:pPr>
              <w:adjustRightInd w:val="0"/>
              <w:snapToGrid w:val="0"/>
              <w:jc w:val="center"/>
              <w:rPr>
                <w:rFonts w:ascii="Arial" w:hAnsi="Arial"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53" w:hRule="atLeast"/>
          <w:jc w:val="center"/>
        </w:trPr>
        <w:tc>
          <w:tcPr>
            <w:tcW w:w="720" w:type="dxa"/>
            <w:vAlign w:val="center"/>
          </w:tcPr>
          <w:p>
            <w:pPr>
              <w:numPr>
                <w:ilvl w:val="0"/>
                <w:numId w:val="2"/>
              </w:numPr>
              <w:adjustRightInd w:val="0"/>
              <w:snapToGrid w:val="0"/>
              <w:ind w:left="0" w:firstLine="0"/>
              <w:jc w:val="center"/>
              <w:rPr>
                <w:rFonts w:ascii="Arial" w:hAnsi="Arial" w:cs="Arial"/>
                <w:sz w:val="24"/>
              </w:rPr>
            </w:pPr>
          </w:p>
        </w:tc>
        <w:tc>
          <w:tcPr>
            <w:tcW w:w="1980" w:type="dxa"/>
            <w:vAlign w:val="center"/>
          </w:tcPr>
          <w:p>
            <w:pPr>
              <w:jc w:val="center"/>
              <w:rPr>
                <w:rFonts w:ascii="Arial" w:hAnsi="Arial" w:cs="Arial"/>
                <w:sz w:val="24"/>
              </w:rPr>
            </w:pPr>
            <w:r>
              <w:rPr>
                <w:rFonts w:ascii="Arial" w:hAnsi="Arial" w:cs="Arial"/>
                <w:sz w:val="24"/>
              </w:rPr>
              <w:t>投标文件规范性</w:t>
            </w:r>
          </w:p>
        </w:tc>
        <w:tc>
          <w:tcPr>
            <w:tcW w:w="3110" w:type="dxa"/>
            <w:vAlign w:val="center"/>
          </w:tcPr>
          <w:p>
            <w:pPr>
              <w:pStyle w:val="140"/>
              <w:pBdr>
                <w:bottom w:val="none" w:color="auto" w:sz="0" w:space="0"/>
              </w:pBdr>
              <w:tabs>
                <w:tab w:val="clear" w:pos="4153"/>
                <w:tab w:val="clear" w:pos="8306"/>
              </w:tabs>
              <w:adjustRightInd/>
              <w:spacing w:line="240" w:lineRule="auto"/>
              <w:jc w:val="left"/>
              <w:textAlignment w:val="auto"/>
              <w:rPr>
                <w:rFonts w:ascii="Arial" w:hAnsi="Arial" w:cs="Arial"/>
                <w:kern w:val="2"/>
              </w:rPr>
            </w:pPr>
            <w:r>
              <w:rPr>
                <w:rFonts w:ascii="Arial" w:hAnsi="Arial" w:cs="Arial"/>
                <w:szCs w:val="28"/>
              </w:rPr>
              <w:t>投标文件数量和密封、签署、盖章符合招标文件要求</w:t>
            </w:r>
            <w:r>
              <w:rPr>
                <w:rFonts w:ascii="Arial" w:hAnsi="Arial" w:cs="Arial"/>
                <w:kern w:val="2"/>
              </w:rPr>
              <w:t>；</w:t>
            </w:r>
            <w:r>
              <w:rPr>
                <w:rFonts w:ascii="Arial" w:hAnsi="Arial" w:cs="Arial"/>
              </w:rPr>
              <w:t>无严重的编排混乱、内容不全或字迹模糊辨认不清情况，投标文件对招标文件的实质性要求和条件作出响应。</w:t>
            </w:r>
          </w:p>
        </w:tc>
        <w:tc>
          <w:tcPr>
            <w:tcW w:w="983" w:type="dxa"/>
            <w:vAlign w:val="center"/>
          </w:tcPr>
          <w:p>
            <w:pPr>
              <w:adjustRightInd w:val="0"/>
              <w:snapToGrid w:val="0"/>
              <w:jc w:val="center"/>
              <w:rPr>
                <w:rFonts w:ascii="Arial" w:hAnsi="Arial" w:cs="Arial"/>
                <w:sz w:val="24"/>
              </w:rPr>
            </w:pPr>
          </w:p>
        </w:tc>
        <w:tc>
          <w:tcPr>
            <w:tcW w:w="2368" w:type="dxa"/>
            <w:vAlign w:val="center"/>
          </w:tcPr>
          <w:p>
            <w:pPr>
              <w:adjustRightInd w:val="0"/>
              <w:snapToGrid w:val="0"/>
              <w:jc w:val="center"/>
              <w:rPr>
                <w:rFonts w:ascii="Arial" w:hAnsi="Arial"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jc w:val="center"/>
        </w:trPr>
        <w:tc>
          <w:tcPr>
            <w:tcW w:w="720" w:type="dxa"/>
            <w:vAlign w:val="center"/>
          </w:tcPr>
          <w:p>
            <w:pPr>
              <w:numPr>
                <w:ilvl w:val="0"/>
                <w:numId w:val="2"/>
              </w:numPr>
              <w:adjustRightInd w:val="0"/>
              <w:snapToGrid w:val="0"/>
              <w:ind w:left="0" w:firstLine="0"/>
              <w:jc w:val="center"/>
              <w:rPr>
                <w:rFonts w:ascii="Arial" w:hAnsi="Arial" w:cs="Arial"/>
                <w:sz w:val="24"/>
              </w:rPr>
            </w:pPr>
          </w:p>
        </w:tc>
        <w:tc>
          <w:tcPr>
            <w:tcW w:w="1980" w:type="dxa"/>
            <w:vAlign w:val="center"/>
          </w:tcPr>
          <w:p>
            <w:pPr>
              <w:jc w:val="center"/>
              <w:rPr>
                <w:rFonts w:ascii="Arial" w:hAnsi="Arial" w:cs="Arial"/>
                <w:sz w:val="24"/>
                <w:szCs w:val="28"/>
              </w:rPr>
            </w:pPr>
            <w:r>
              <w:rPr>
                <w:rFonts w:ascii="Arial" w:hAnsi="Arial" w:cs="Arial"/>
                <w:sz w:val="24"/>
                <w:szCs w:val="28"/>
              </w:rPr>
              <w:t>响应情况</w:t>
            </w:r>
          </w:p>
        </w:tc>
        <w:tc>
          <w:tcPr>
            <w:tcW w:w="3110" w:type="dxa"/>
            <w:vAlign w:val="center"/>
          </w:tcPr>
          <w:p>
            <w:pPr>
              <w:jc w:val="left"/>
              <w:rPr>
                <w:rFonts w:ascii="Arial" w:hAnsi="Arial" w:cs="Arial"/>
                <w:sz w:val="24"/>
                <w:szCs w:val="28"/>
              </w:rPr>
            </w:pPr>
            <w:r>
              <w:rPr>
                <w:rFonts w:hint="eastAsia" w:ascii="Arial" w:hAnsi="Arial" w:cs="Arial"/>
                <w:sz w:val="24"/>
                <w:szCs w:val="28"/>
              </w:rPr>
              <w:t>服务</w:t>
            </w:r>
            <w:r>
              <w:rPr>
                <w:rFonts w:ascii="Arial" w:hAnsi="Arial" w:cs="Arial"/>
                <w:sz w:val="24"/>
                <w:szCs w:val="28"/>
              </w:rPr>
              <w:t>期限</w:t>
            </w:r>
            <w:r>
              <w:rPr>
                <w:rFonts w:hint="eastAsia" w:ascii="Arial" w:hAnsi="Arial" w:cs="Arial"/>
                <w:sz w:val="24"/>
                <w:szCs w:val="28"/>
              </w:rPr>
              <w:t>响应</w:t>
            </w:r>
            <w:r>
              <w:rPr>
                <w:rFonts w:ascii="Arial" w:hAnsi="Arial" w:cs="Arial"/>
                <w:sz w:val="24"/>
                <w:szCs w:val="28"/>
              </w:rPr>
              <w:t>等。</w:t>
            </w:r>
          </w:p>
        </w:tc>
        <w:tc>
          <w:tcPr>
            <w:tcW w:w="983" w:type="dxa"/>
            <w:vAlign w:val="center"/>
          </w:tcPr>
          <w:p>
            <w:pPr>
              <w:adjustRightInd w:val="0"/>
              <w:snapToGrid w:val="0"/>
              <w:jc w:val="center"/>
              <w:rPr>
                <w:rFonts w:ascii="Arial" w:hAnsi="Arial" w:cs="Arial"/>
                <w:sz w:val="24"/>
              </w:rPr>
            </w:pPr>
          </w:p>
        </w:tc>
        <w:tc>
          <w:tcPr>
            <w:tcW w:w="2368" w:type="dxa"/>
            <w:vAlign w:val="center"/>
          </w:tcPr>
          <w:p>
            <w:pPr>
              <w:adjustRightInd w:val="0"/>
              <w:snapToGrid w:val="0"/>
              <w:jc w:val="center"/>
              <w:rPr>
                <w:rFonts w:ascii="Arial" w:hAnsi="Arial"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65" w:hRule="atLeast"/>
          <w:jc w:val="center"/>
        </w:trPr>
        <w:tc>
          <w:tcPr>
            <w:tcW w:w="720" w:type="dxa"/>
            <w:vAlign w:val="center"/>
          </w:tcPr>
          <w:p>
            <w:pPr>
              <w:numPr>
                <w:ilvl w:val="0"/>
                <w:numId w:val="2"/>
              </w:numPr>
              <w:adjustRightInd w:val="0"/>
              <w:snapToGrid w:val="0"/>
              <w:ind w:left="0" w:firstLine="0"/>
              <w:jc w:val="center"/>
              <w:rPr>
                <w:rFonts w:ascii="Arial" w:hAnsi="Arial" w:cs="Arial"/>
                <w:sz w:val="24"/>
              </w:rPr>
            </w:pPr>
          </w:p>
        </w:tc>
        <w:tc>
          <w:tcPr>
            <w:tcW w:w="1980" w:type="dxa"/>
            <w:vAlign w:val="center"/>
          </w:tcPr>
          <w:p>
            <w:pPr>
              <w:jc w:val="center"/>
              <w:rPr>
                <w:rFonts w:ascii="Arial" w:hAnsi="Arial" w:cs="Arial"/>
                <w:sz w:val="24"/>
                <w:szCs w:val="28"/>
              </w:rPr>
            </w:pPr>
            <w:r>
              <w:rPr>
                <w:rFonts w:ascii="Arial" w:hAnsi="Arial" w:cs="Arial"/>
                <w:sz w:val="24"/>
                <w:szCs w:val="28"/>
              </w:rPr>
              <w:t>其他要求</w:t>
            </w:r>
          </w:p>
        </w:tc>
        <w:tc>
          <w:tcPr>
            <w:tcW w:w="3110" w:type="dxa"/>
            <w:vAlign w:val="center"/>
          </w:tcPr>
          <w:p>
            <w:pPr>
              <w:jc w:val="left"/>
              <w:rPr>
                <w:rFonts w:ascii="Arial" w:hAnsi="Arial" w:cs="Arial"/>
                <w:sz w:val="24"/>
                <w:szCs w:val="28"/>
              </w:rPr>
            </w:pPr>
            <w:r>
              <w:rPr>
                <w:rFonts w:ascii="Arial" w:hAnsi="Arial" w:cs="Arial"/>
                <w:sz w:val="24"/>
                <w:szCs w:val="28"/>
              </w:rPr>
              <w:t>法律、行政法规规定的其他条件或招标公告、招标文件列明的其他要求。</w:t>
            </w:r>
          </w:p>
        </w:tc>
        <w:tc>
          <w:tcPr>
            <w:tcW w:w="983" w:type="dxa"/>
            <w:vAlign w:val="center"/>
          </w:tcPr>
          <w:p>
            <w:pPr>
              <w:adjustRightInd w:val="0"/>
              <w:snapToGrid w:val="0"/>
              <w:jc w:val="center"/>
              <w:rPr>
                <w:rFonts w:ascii="Arial" w:hAnsi="Arial" w:cs="Arial"/>
                <w:sz w:val="24"/>
              </w:rPr>
            </w:pPr>
          </w:p>
        </w:tc>
        <w:tc>
          <w:tcPr>
            <w:tcW w:w="2368" w:type="dxa"/>
            <w:vAlign w:val="center"/>
          </w:tcPr>
          <w:p>
            <w:pPr>
              <w:adjustRightInd w:val="0"/>
              <w:snapToGrid w:val="0"/>
              <w:jc w:val="center"/>
              <w:rPr>
                <w:rFonts w:ascii="Arial" w:hAnsi="Arial"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2" w:hRule="atLeast"/>
          <w:jc w:val="center"/>
        </w:trPr>
        <w:tc>
          <w:tcPr>
            <w:tcW w:w="9161" w:type="dxa"/>
            <w:gridSpan w:val="5"/>
            <w:vAlign w:val="center"/>
          </w:tcPr>
          <w:p>
            <w:pPr>
              <w:adjustRightInd w:val="0"/>
              <w:snapToGrid w:val="0"/>
              <w:rPr>
                <w:rFonts w:ascii="Arial" w:hAnsi="Arial" w:cs="Arial"/>
                <w:sz w:val="24"/>
              </w:rPr>
            </w:pPr>
            <w:r>
              <w:rPr>
                <w:rFonts w:ascii="Arial" w:hAnsi="Arial" w:cs="Arial"/>
                <w:sz w:val="24"/>
              </w:rPr>
              <w:t>初审指标通过标准：</w:t>
            </w:r>
          </w:p>
          <w:p>
            <w:pPr>
              <w:adjustRightInd w:val="0"/>
              <w:snapToGrid w:val="0"/>
              <w:rPr>
                <w:rFonts w:ascii="Arial" w:hAnsi="Arial" w:cs="Arial"/>
                <w:sz w:val="24"/>
              </w:rPr>
            </w:pPr>
            <w:r>
              <w:rPr>
                <w:rFonts w:hint="eastAsia" w:ascii="Arial" w:hAnsi="Arial" w:cs="Arial"/>
                <w:sz w:val="24"/>
              </w:rPr>
              <w:t>供应商</w:t>
            </w:r>
            <w:r>
              <w:rPr>
                <w:rFonts w:ascii="Arial" w:hAnsi="Arial" w:cs="Arial"/>
                <w:sz w:val="24"/>
              </w:rPr>
              <w:t>必须通过上述全部指标。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6" w:hRule="atLeast"/>
          <w:jc w:val="center"/>
        </w:trPr>
        <w:tc>
          <w:tcPr>
            <w:tcW w:w="9161" w:type="dxa"/>
            <w:gridSpan w:val="5"/>
            <w:vAlign w:val="center"/>
          </w:tcPr>
          <w:p>
            <w:pPr>
              <w:adjustRightInd w:val="0"/>
              <w:snapToGrid w:val="0"/>
              <w:rPr>
                <w:rFonts w:ascii="Arial" w:hAnsi="Arial" w:cs="Arial"/>
                <w:sz w:val="24"/>
              </w:rPr>
            </w:pPr>
            <w:r>
              <w:rPr>
                <w:rFonts w:ascii="Arial" w:hAnsi="Arial" w:cs="Arial"/>
                <w:sz w:val="24"/>
              </w:rPr>
              <w:t>评委签字：</w:t>
            </w:r>
          </w:p>
          <w:p>
            <w:pPr>
              <w:adjustRightInd w:val="0"/>
              <w:snapToGrid w:val="0"/>
              <w:rPr>
                <w:rFonts w:ascii="Arial" w:hAnsi="Arial" w:cs="Arial"/>
                <w:sz w:val="24"/>
              </w:rPr>
            </w:pPr>
            <w:r>
              <w:rPr>
                <w:rFonts w:ascii="Arial" w:hAnsi="Arial" w:cs="Arial"/>
                <w:sz w:val="24"/>
              </w:rPr>
              <w:t>评审时间：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2" w:hRule="atLeast"/>
          <w:jc w:val="center"/>
        </w:trPr>
        <w:tc>
          <w:tcPr>
            <w:tcW w:w="9161" w:type="dxa"/>
            <w:gridSpan w:val="5"/>
            <w:vAlign w:val="center"/>
          </w:tcPr>
          <w:p>
            <w:pPr>
              <w:pStyle w:val="27"/>
              <w:ind w:firstLine="0"/>
              <w:rPr>
                <w:rFonts w:ascii="Arial" w:hAnsi="Arial" w:eastAsia="宋体" w:cs="Arial"/>
                <w:b/>
                <w:sz w:val="24"/>
              </w:rPr>
            </w:pPr>
            <w:r>
              <w:rPr>
                <w:rFonts w:ascii="Arial" w:hAnsi="Arial" w:eastAsia="宋体" w:cs="Arial"/>
                <w:b/>
                <w:bCs/>
                <w:sz w:val="24"/>
              </w:rPr>
              <w:t>注：无论何种原因，即使</w:t>
            </w:r>
            <w:r>
              <w:rPr>
                <w:rFonts w:hint="eastAsia" w:ascii="Arial" w:hAnsi="Arial" w:eastAsia="宋体" w:cs="Arial"/>
                <w:b/>
                <w:bCs/>
                <w:sz w:val="24"/>
              </w:rPr>
              <w:t>供应商</w:t>
            </w:r>
            <w:r>
              <w:rPr>
                <w:rFonts w:ascii="Arial" w:hAnsi="Arial" w:eastAsia="宋体" w:cs="Arial"/>
                <w:b/>
                <w:bCs/>
                <w:sz w:val="24"/>
              </w:rPr>
              <w:t>开标时携带了证书材料的原件，但在投标文件中未提供与之内容完全一致的复印件或影印件的，评标委员会可以视同其未提供。</w:t>
            </w:r>
          </w:p>
        </w:tc>
      </w:tr>
    </w:tbl>
    <w:p>
      <w:pPr>
        <w:numPr>
          <w:ilvl w:val="0"/>
          <w:numId w:val="3"/>
        </w:numPr>
        <w:spacing w:beforeLines="50" w:line="0" w:lineRule="atLeast"/>
        <w:ind w:firstLine="480" w:firstLineChars="200"/>
        <w:rPr>
          <w:rFonts w:ascii="Arial" w:hAnsi="Arial" w:cs="Arial"/>
          <w:sz w:val="24"/>
        </w:rPr>
      </w:pPr>
      <w:r>
        <w:rPr>
          <w:rFonts w:ascii="Arial" w:hAnsi="Arial" w:cs="Arial"/>
          <w:sz w:val="24"/>
        </w:rPr>
        <w:t>对投标文件进行详审。评标委员会只对通过初审，实质上响应招标文件要求的投标文件按照下述指标表进行详审。</w:t>
      </w:r>
    </w:p>
    <w:p>
      <w:pPr>
        <w:pStyle w:val="27"/>
        <w:spacing w:line="0" w:lineRule="atLeast"/>
        <w:ind w:firstLine="480" w:firstLineChars="200"/>
        <w:rPr>
          <w:rFonts w:ascii="Arial" w:hAnsi="Arial" w:eastAsia="宋体" w:cs="Arial"/>
          <w:sz w:val="24"/>
        </w:rPr>
      </w:pPr>
      <w:r>
        <w:rPr>
          <w:rFonts w:ascii="Arial" w:hAnsi="Arial" w:eastAsia="宋体" w:cs="Arial"/>
          <w:sz w:val="24"/>
        </w:rPr>
        <w:t>本项目具体评分细则如下：</w:t>
      </w:r>
    </w:p>
    <w:tbl>
      <w:tblPr>
        <w:tblStyle w:val="65"/>
        <w:tblW w:w="991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9"/>
        <w:gridCol w:w="1207"/>
        <w:gridCol w:w="6525"/>
        <w:gridCol w:w="10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2" w:hRule="atLeast"/>
          <w:jc w:val="center"/>
        </w:trPr>
        <w:tc>
          <w:tcPr>
            <w:tcW w:w="1119" w:type="dxa"/>
            <w:vAlign w:val="center"/>
          </w:tcPr>
          <w:p>
            <w:pPr>
              <w:jc w:val="center"/>
              <w:rPr>
                <w:rFonts w:ascii="宋体" w:hAnsi="宋体" w:cs="宋体"/>
                <w:b/>
                <w:bCs/>
                <w:sz w:val="24"/>
                <w:szCs w:val="24"/>
              </w:rPr>
            </w:pPr>
            <w:r>
              <w:rPr>
                <w:rFonts w:hint="eastAsia" w:ascii="宋体" w:hAnsi="宋体" w:cs="宋体"/>
                <w:b/>
                <w:bCs/>
                <w:sz w:val="24"/>
                <w:szCs w:val="24"/>
              </w:rPr>
              <w:t>类别</w:t>
            </w:r>
          </w:p>
        </w:tc>
        <w:tc>
          <w:tcPr>
            <w:tcW w:w="1207" w:type="dxa"/>
            <w:vAlign w:val="center"/>
          </w:tcPr>
          <w:p>
            <w:pPr>
              <w:jc w:val="center"/>
              <w:rPr>
                <w:rFonts w:ascii="宋体" w:hAnsi="宋体" w:cs="宋体"/>
                <w:b/>
                <w:bCs/>
                <w:sz w:val="24"/>
                <w:szCs w:val="24"/>
              </w:rPr>
            </w:pPr>
            <w:r>
              <w:rPr>
                <w:rFonts w:hint="eastAsia" w:ascii="宋体" w:hAnsi="宋体" w:cs="宋体"/>
                <w:b/>
                <w:bCs/>
                <w:sz w:val="24"/>
                <w:szCs w:val="24"/>
              </w:rPr>
              <w:t>评分内容</w:t>
            </w:r>
          </w:p>
        </w:tc>
        <w:tc>
          <w:tcPr>
            <w:tcW w:w="6525" w:type="dxa"/>
            <w:vAlign w:val="center"/>
          </w:tcPr>
          <w:p>
            <w:pPr>
              <w:jc w:val="center"/>
              <w:rPr>
                <w:rFonts w:ascii="宋体" w:hAnsi="宋体" w:cs="宋体"/>
                <w:sz w:val="24"/>
                <w:szCs w:val="24"/>
              </w:rPr>
            </w:pPr>
            <w:r>
              <w:rPr>
                <w:rFonts w:hint="eastAsia" w:ascii="宋体" w:hAnsi="宋体" w:cs="宋体"/>
                <w:b/>
                <w:bCs/>
                <w:sz w:val="24"/>
                <w:szCs w:val="24"/>
              </w:rPr>
              <w:t>评分标准</w:t>
            </w:r>
          </w:p>
        </w:tc>
        <w:tc>
          <w:tcPr>
            <w:tcW w:w="1063" w:type="dxa"/>
            <w:vAlign w:val="center"/>
          </w:tcPr>
          <w:p>
            <w:pPr>
              <w:jc w:val="center"/>
              <w:rPr>
                <w:rFonts w:ascii="宋体" w:hAnsi="宋体" w:cs="宋体"/>
                <w:b/>
                <w:bCs/>
                <w:sz w:val="24"/>
                <w:szCs w:val="24"/>
              </w:rPr>
            </w:pPr>
            <w:r>
              <w:rPr>
                <w:rFonts w:hint="eastAsia" w:ascii="宋体" w:hAnsi="宋体" w:cs="宋体"/>
                <w:b/>
                <w:bCs/>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73" w:hRule="atLeast"/>
          <w:jc w:val="center"/>
        </w:trPr>
        <w:tc>
          <w:tcPr>
            <w:tcW w:w="1119" w:type="dxa"/>
            <w:vMerge w:val="restart"/>
            <w:vAlign w:val="center"/>
          </w:tcPr>
          <w:p>
            <w:pPr>
              <w:jc w:val="center"/>
              <w:rPr>
                <w:rFonts w:ascii="宋体" w:hAnsi="宋体" w:cs="宋体"/>
                <w:sz w:val="24"/>
                <w:szCs w:val="24"/>
              </w:rPr>
            </w:pPr>
            <w:r>
              <w:rPr>
                <w:rFonts w:hint="eastAsia" w:ascii="宋体" w:hAnsi="宋体" w:cs="宋体"/>
                <w:sz w:val="24"/>
                <w:szCs w:val="24"/>
              </w:rPr>
              <w:t>供应商综合实力（满分63分）</w:t>
            </w:r>
          </w:p>
        </w:tc>
        <w:tc>
          <w:tcPr>
            <w:tcW w:w="1207" w:type="dxa"/>
            <w:vAlign w:val="center"/>
          </w:tcPr>
          <w:p>
            <w:pPr>
              <w:jc w:val="center"/>
              <w:rPr>
                <w:rFonts w:ascii="宋体" w:hAnsi="宋体" w:cs="宋体"/>
                <w:sz w:val="24"/>
                <w:szCs w:val="24"/>
              </w:rPr>
            </w:pPr>
            <w:r>
              <w:rPr>
                <w:rFonts w:hint="eastAsia" w:ascii="宋体" w:hAnsi="宋体" w:cs="宋体"/>
                <w:sz w:val="24"/>
                <w:szCs w:val="24"/>
              </w:rPr>
              <w:t>类似业绩</w:t>
            </w:r>
          </w:p>
        </w:tc>
        <w:tc>
          <w:tcPr>
            <w:tcW w:w="6525" w:type="dxa"/>
            <w:vAlign w:val="center"/>
          </w:tcPr>
          <w:p>
            <w:pPr>
              <w:spacing w:beforeLines="50"/>
              <w:ind w:firstLine="482" w:firstLineChars="200"/>
              <w:rPr>
                <w:rFonts w:ascii="宋体" w:hAnsi="宋体" w:cs="宋体"/>
                <w:b/>
                <w:bCs/>
                <w:color w:val="0000FF"/>
                <w:sz w:val="24"/>
                <w:szCs w:val="24"/>
              </w:rPr>
            </w:pPr>
            <w:r>
              <w:rPr>
                <w:rFonts w:hint="eastAsia" w:ascii="宋体" w:hAnsi="宋体" w:cs="宋体"/>
                <w:b/>
                <w:bCs/>
                <w:color w:val="0000FF"/>
                <w:sz w:val="24"/>
                <w:szCs w:val="24"/>
              </w:rPr>
              <w:t>1、投标供应商每提供一个正在经营（截止本次投标截止时间时）的</w:t>
            </w:r>
            <w:r>
              <w:rPr>
                <w:rFonts w:hint="eastAsia" w:ascii="宋体" w:hAnsi="宋体" w:cs="宋体"/>
                <w:b/>
                <w:bCs/>
                <w:color w:val="0000FF"/>
                <w:sz w:val="24"/>
                <w:szCs w:val="24"/>
                <w:highlight w:val="yellow"/>
              </w:rPr>
              <w:t>高校食堂</w:t>
            </w:r>
            <w:r>
              <w:rPr>
                <w:rFonts w:hint="eastAsia" w:ascii="宋体" w:hAnsi="宋体" w:cs="宋体"/>
                <w:b/>
                <w:bCs/>
                <w:color w:val="0000FF"/>
                <w:sz w:val="24"/>
                <w:szCs w:val="24"/>
              </w:rPr>
              <w:t>经营业绩，得1分，本小项最高得10分。</w:t>
            </w:r>
          </w:p>
          <w:p>
            <w:pPr>
              <w:ind w:firstLine="480" w:firstLineChars="200"/>
              <w:rPr>
                <w:rFonts w:ascii="宋体" w:hAnsi="宋体" w:cs="宋体"/>
                <w:sz w:val="24"/>
                <w:szCs w:val="24"/>
              </w:rPr>
            </w:pPr>
            <w:r>
              <w:rPr>
                <w:rFonts w:hint="eastAsia" w:ascii="宋体" w:hAnsi="宋体" w:cs="宋体"/>
                <w:sz w:val="24"/>
                <w:szCs w:val="24"/>
              </w:rPr>
              <w:t>备注：本小项评审，上述业绩的合同签订时间须在2013年1月1日以后，投标时须提供相应的合同及业主评价良好证明复印件或影印件。</w:t>
            </w:r>
          </w:p>
          <w:p>
            <w:pPr>
              <w:spacing w:beforeLines="50"/>
              <w:ind w:firstLine="482" w:firstLineChars="200"/>
              <w:rPr>
                <w:rFonts w:ascii="宋体" w:hAnsi="宋体" w:cs="宋体"/>
                <w:b/>
                <w:bCs/>
                <w:color w:val="0000FF"/>
                <w:sz w:val="24"/>
                <w:szCs w:val="24"/>
              </w:rPr>
            </w:pPr>
            <w:r>
              <w:rPr>
                <w:rFonts w:hint="eastAsia" w:ascii="宋体" w:hAnsi="宋体" w:cs="宋体"/>
                <w:b/>
                <w:bCs/>
                <w:color w:val="0000FF"/>
                <w:sz w:val="24"/>
                <w:szCs w:val="24"/>
              </w:rPr>
              <w:t>2、投标供应商提供正在经营的</w:t>
            </w:r>
            <w:r>
              <w:rPr>
                <w:rFonts w:hint="eastAsia" w:ascii="宋体" w:hAnsi="宋体" w:cs="宋体"/>
                <w:b/>
                <w:bCs/>
                <w:color w:val="0000FF"/>
                <w:sz w:val="24"/>
                <w:szCs w:val="24"/>
                <w:highlight w:val="yellow"/>
              </w:rPr>
              <w:t>高校的单个食堂</w:t>
            </w:r>
            <w:r>
              <w:rPr>
                <w:rFonts w:hint="eastAsia" w:ascii="宋体" w:hAnsi="宋体" w:cs="宋体"/>
                <w:b/>
                <w:bCs/>
                <w:color w:val="0000FF"/>
                <w:sz w:val="24"/>
                <w:szCs w:val="24"/>
              </w:rPr>
              <w:t>的平均月营业额进行评分。（平均月营业额计算范围为2016、2017年度的3-6月和9-12月，共计16个月）：</w:t>
            </w:r>
          </w:p>
          <w:p>
            <w:pPr>
              <w:rPr>
                <w:rFonts w:ascii="宋体" w:hAnsi="宋体" w:cs="宋体"/>
                <w:sz w:val="24"/>
                <w:szCs w:val="24"/>
              </w:rPr>
            </w:pPr>
            <w:r>
              <w:rPr>
                <w:rFonts w:hint="eastAsia" w:ascii="宋体" w:hAnsi="宋体" w:cs="宋体"/>
                <w:sz w:val="24"/>
                <w:szCs w:val="24"/>
              </w:rPr>
              <w:t>（1）平均月营业额高于150（含）万元，得10分；</w:t>
            </w:r>
          </w:p>
          <w:p>
            <w:pPr>
              <w:rPr>
                <w:rFonts w:ascii="宋体" w:hAnsi="宋体" w:cs="宋体"/>
                <w:sz w:val="24"/>
                <w:szCs w:val="24"/>
              </w:rPr>
            </w:pPr>
            <w:r>
              <w:rPr>
                <w:rFonts w:hint="eastAsia" w:ascii="宋体" w:hAnsi="宋体" w:cs="宋体"/>
                <w:sz w:val="24"/>
                <w:szCs w:val="24"/>
              </w:rPr>
              <w:t>（2）平均月营业额130万（含）-150万元，得9分；</w:t>
            </w:r>
          </w:p>
          <w:p>
            <w:pPr>
              <w:rPr>
                <w:rFonts w:ascii="宋体" w:hAnsi="宋体" w:cs="宋体"/>
                <w:sz w:val="24"/>
                <w:szCs w:val="24"/>
              </w:rPr>
            </w:pPr>
            <w:r>
              <w:rPr>
                <w:rFonts w:hint="eastAsia" w:ascii="宋体" w:hAnsi="宋体" w:cs="宋体"/>
                <w:sz w:val="24"/>
                <w:szCs w:val="24"/>
              </w:rPr>
              <w:t>（3）平均月营业额110万（含）-130万元，得8分；</w:t>
            </w:r>
          </w:p>
          <w:p>
            <w:pPr>
              <w:rPr>
                <w:rFonts w:ascii="宋体" w:hAnsi="宋体" w:cs="宋体"/>
                <w:sz w:val="24"/>
                <w:szCs w:val="24"/>
              </w:rPr>
            </w:pPr>
            <w:r>
              <w:rPr>
                <w:rFonts w:hint="eastAsia" w:ascii="宋体" w:hAnsi="宋体" w:cs="宋体"/>
                <w:sz w:val="24"/>
                <w:szCs w:val="24"/>
              </w:rPr>
              <w:t>（4）平均月营业额90万（含）-110万元，得7分；</w:t>
            </w:r>
          </w:p>
          <w:p>
            <w:pPr>
              <w:rPr>
                <w:rFonts w:ascii="宋体" w:hAnsi="宋体" w:cs="宋体"/>
                <w:sz w:val="24"/>
                <w:szCs w:val="24"/>
              </w:rPr>
            </w:pPr>
            <w:r>
              <w:rPr>
                <w:rFonts w:hint="eastAsia" w:ascii="宋体" w:hAnsi="宋体" w:cs="宋体"/>
                <w:sz w:val="24"/>
                <w:szCs w:val="24"/>
              </w:rPr>
              <w:t>（5）平均月营业额80万（含）-90万元，得6分；</w:t>
            </w:r>
          </w:p>
          <w:p>
            <w:pPr>
              <w:rPr>
                <w:rFonts w:ascii="宋体" w:hAnsi="宋体" w:cs="宋体"/>
                <w:sz w:val="24"/>
                <w:szCs w:val="24"/>
              </w:rPr>
            </w:pPr>
            <w:r>
              <w:rPr>
                <w:rFonts w:hint="eastAsia" w:ascii="宋体" w:hAnsi="宋体" w:cs="宋体"/>
                <w:sz w:val="24"/>
                <w:szCs w:val="24"/>
              </w:rPr>
              <w:t>（6）平均月营业额低于80万元，不得分。</w:t>
            </w:r>
          </w:p>
          <w:p>
            <w:pPr>
              <w:ind w:firstLine="480" w:firstLineChars="200"/>
              <w:rPr>
                <w:rFonts w:ascii="宋体" w:hAnsi="宋体" w:cs="宋体"/>
                <w:sz w:val="24"/>
                <w:szCs w:val="24"/>
              </w:rPr>
            </w:pPr>
            <w:r>
              <w:rPr>
                <w:rFonts w:hint="eastAsia" w:ascii="宋体" w:hAnsi="宋体" w:cs="宋体"/>
                <w:sz w:val="24"/>
                <w:szCs w:val="24"/>
              </w:rPr>
              <w:t>备注：本小项评审以平均月营业额最高的单个食堂进行计分，最高可得10分。投标时须提供相应的合同及业主盖章的营业额报表复印件或影印件作为证明材料。</w:t>
            </w:r>
          </w:p>
          <w:p>
            <w:pPr>
              <w:spacing w:beforeLines="50"/>
              <w:ind w:firstLine="482" w:firstLineChars="200"/>
              <w:rPr>
                <w:rFonts w:ascii="宋体" w:hAnsi="宋体" w:cs="宋体"/>
                <w:b/>
                <w:bCs/>
                <w:color w:val="0000FF"/>
                <w:sz w:val="24"/>
                <w:szCs w:val="24"/>
              </w:rPr>
            </w:pPr>
            <w:r>
              <w:rPr>
                <w:rFonts w:hint="eastAsia" w:ascii="宋体" w:hAnsi="宋体" w:cs="宋体"/>
                <w:b/>
                <w:bCs/>
                <w:color w:val="0000FF"/>
                <w:sz w:val="24"/>
                <w:szCs w:val="24"/>
              </w:rPr>
              <w:t>3、投标供应商在同一</w:t>
            </w:r>
            <w:r>
              <w:rPr>
                <w:rFonts w:hint="eastAsia" w:ascii="宋体" w:hAnsi="宋体" w:cs="宋体"/>
                <w:b/>
                <w:bCs/>
                <w:color w:val="0000FF"/>
                <w:sz w:val="24"/>
                <w:szCs w:val="24"/>
                <w:highlight w:val="yellow"/>
              </w:rPr>
              <w:t>高校</w:t>
            </w:r>
            <w:r>
              <w:rPr>
                <w:rFonts w:hint="eastAsia" w:ascii="宋体" w:hAnsi="宋体" w:cs="宋体"/>
                <w:b/>
                <w:bCs/>
                <w:color w:val="0000FF"/>
                <w:sz w:val="24"/>
                <w:szCs w:val="24"/>
              </w:rPr>
              <w:t>连续经营期限达3年及以上的得3分；连续经营期限达6年及以上的，得6分；本小项最高6分。</w:t>
            </w:r>
          </w:p>
          <w:p>
            <w:pPr>
              <w:ind w:firstLine="480" w:firstLineChars="200"/>
              <w:rPr>
                <w:rFonts w:ascii="宋体" w:hAnsi="宋体" w:cs="宋体"/>
                <w:sz w:val="24"/>
                <w:szCs w:val="24"/>
              </w:rPr>
            </w:pPr>
            <w:r>
              <w:rPr>
                <w:rFonts w:hint="eastAsia" w:ascii="宋体" w:hAnsi="宋体" w:cs="宋体"/>
                <w:sz w:val="24"/>
                <w:szCs w:val="24"/>
              </w:rPr>
              <w:t>备注：同一项目以最长年限计分，投标时须提供合同及相应的业主评价良好证明材料复印件或影印件。</w:t>
            </w:r>
          </w:p>
        </w:tc>
        <w:tc>
          <w:tcPr>
            <w:tcW w:w="1063" w:type="dxa"/>
            <w:vAlign w:val="center"/>
          </w:tcPr>
          <w:p>
            <w:pPr>
              <w:jc w:val="center"/>
              <w:rPr>
                <w:rFonts w:ascii="宋体" w:hAnsi="宋体" w:cs="宋体"/>
                <w:sz w:val="24"/>
                <w:szCs w:val="24"/>
              </w:rPr>
            </w:pPr>
            <w:r>
              <w:rPr>
                <w:rFonts w:hint="eastAsia" w:ascii="宋体" w:hAnsi="宋体" w:cs="宋体"/>
                <w:sz w:val="24"/>
                <w:szCs w:val="24"/>
              </w:rPr>
              <w:t>0-26分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70" w:hRule="atLeast"/>
          <w:jc w:val="center"/>
        </w:trPr>
        <w:tc>
          <w:tcPr>
            <w:tcW w:w="1119" w:type="dxa"/>
            <w:vMerge w:val="continue"/>
            <w:vAlign w:val="center"/>
          </w:tcPr>
          <w:p>
            <w:pPr>
              <w:jc w:val="center"/>
              <w:rPr>
                <w:rFonts w:ascii="宋体" w:hAnsi="宋体" w:cs="宋体"/>
                <w:sz w:val="24"/>
                <w:szCs w:val="24"/>
              </w:rPr>
            </w:pPr>
          </w:p>
        </w:tc>
        <w:tc>
          <w:tcPr>
            <w:tcW w:w="1207" w:type="dxa"/>
            <w:vAlign w:val="center"/>
          </w:tcPr>
          <w:p>
            <w:pPr>
              <w:rPr>
                <w:rFonts w:ascii="宋体" w:hAnsi="宋体" w:cs="宋体"/>
                <w:sz w:val="24"/>
                <w:szCs w:val="24"/>
              </w:rPr>
            </w:pPr>
            <w:r>
              <w:rPr>
                <w:rFonts w:hint="eastAsia" w:ascii="宋体" w:hAnsi="宋体" w:cs="宋体"/>
                <w:sz w:val="24"/>
                <w:szCs w:val="24"/>
              </w:rPr>
              <w:t>A级食堂创建承诺</w:t>
            </w:r>
          </w:p>
        </w:tc>
        <w:tc>
          <w:tcPr>
            <w:tcW w:w="6525" w:type="dxa"/>
            <w:vAlign w:val="center"/>
          </w:tcPr>
          <w:p>
            <w:pPr>
              <w:widowControl/>
              <w:spacing w:afterLines="50"/>
              <w:ind w:firstLine="480" w:firstLineChars="200"/>
              <w:rPr>
                <w:rFonts w:ascii="宋体" w:hAnsi="宋体" w:cs="宋体"/>
                <w:sz w:val="24"/>
                <w:szCs w:val="24"/>
              </w:rPr>
            </w:pPr>
            <w:r>
              <w:rPr>
                <w:rFonts w:hint="eastAsia" w:ascii="宋体" w:hAnsi="宋体" w:cs="宋体"/>
                <w:sz w:val="24"/>
                <w:szCs w:val="24"/>
              </w:rPr>
              <w:t>1、投标供应商承诺在合同签订后1年内取得“餐饮服务食品安全监督量化分级管理”A级的，得8分；</w:t>
            </w:r>
          </w:p>
          <w:p>
            <w:pPr>
              <w:widowControl/>
              <w:spacing w:afterLines="50"/>
              <w:ind w:firstLine="480" w:firstLineChars="200"/>
              <w:rPr>
                <w:rFonts w:ascii="宋体" w:hAnsi="宋体" w:cs="宋体"/>
                <w:sz w:val="24"/>
                <w:szCs w:val="24"/>
              </w:rPr>
            </w:pPr>
            <w:r>
              <w:rPr>
                <w:rFonts w:hint="eastAsia" w:ascii="宋体" w:hAnsi="宋体" w:cs="宋体"/>
                <w:sz w:val="24"/>
                <w:szCs w:val="24"/>
              </w:rPr>
              <w:t>2、投标供应商承诺在合同签订后2年内取得“餐饮服务食品安全监督量化分级管理”A级的，得6分。</w:t>
            </w:r>
          </w:p>
          <w:p>
            <w:pPr>
              <w:widowControl/>
              <w:spacing w:afterLines="50"/>
              <w:ind w:firstLine="480" w:firstLineChars="200"/>
              <w:rPr>
                <w:rFonts w:ascii="宋体" w:hAnsi="宋体" w:cs="宋体"/>
                <w:sz w:val="24"/>
                <w:szCs w:val="24"/>
              </w:rPr>
            </w:pPr>
            <w:r>
              <w:rPr>
                <w:rFonts w:hint="eastAsia" w:ascii="宋体" w:hAnsi="宋体" w:cs="宋体"/>
                <w:sz w:val="24"/>
                <w:szCs w:val="24"/>
              </w:rPr>
              <w:t>3、投标供应商承诺在合同签订后3年内取得“餐饮服务食品安全监督量化分级管理”A级的，得4分。</w:t>
            </w:r>
          </w:p>
          <w:p>
            <w:pPr>
              <w:widowControl/>
              <w:spacing w:afterLines="50"/>
              <w:ind w:firstLine="480" w:firstLineChars="200"/>
              <w:rPr>
                <w:rFonts w:ascii="宋体" w:hAnsi="宋体" w:cs="宋体"/>
                <w:sz w:val="24"/>
                <w:szCs w:val="24"/>
              </w:rPr>
            </w:pPr>
            <w:r>
              <w:rPr>
                <w:rFonts w:hint="eastAsia" w:ascii="宋体" w:hAnsi="宋体" w:cs="宋体"/>
                <w:sz w:val="24"/>
                <w:szCs w:val="24"/>
              </w:rPr>
              <w:t>4、未承诺或承诺获得时间超出合同签订后3年的，本项不得分。</w:t>
            </w:r>
          </w:p>
          <w:p>
            <w:pPr>
              <w:widowControl/>
              <w:spacing w:beforeLines="50"/>
              <w:ind w:firstLine="482" w:firstLineChars="200"/>
              <w:rPr>
                <w:rFonts w:ascii="宋体" w:hAnsi="宋体" w:cs="宋体"/>
                <w:sz w:val="24"/>
                <w:szCs w:val="24"/>
              </w:rPr>
            </w:pPr>
            <w:r>
              <w:rPr>
                <w:rFonts w:hint="eastAsia" w:ascii="宋体" w:hAnsi="宋体" w:cs="宋体"/>
                <w:b/>
                <w:bCs/>
                <w:sz w:val="24"/>
                <w:szCs w:val="24"/>
              </w:rPr>
              <w:t>备注：投标时必须提供书面承诺（格式自拟），中标后上述承诺将列入合同条款，如未能在承诺的时间内取得A级食堂称号，采购人将根据本招标文件及合同约定对中标供应商进行处罚。</w:t>
            </w:r>
          </w:p>
        </w:tc>
        <w:tc>
          <w:tcPr>
            <w:tcW w:w="1063" w:type="dxa"/>
            <w:vAlign w:val="center"/>
          </w:tcPr>
          <w:p>
            <w:pPr>
              <w:jc w:val="center"/>
              <w:rPr>
                <w:rFonts w:ascii="宋体" w:hAnsi="宋体" w:cs="宋体"/>
                <w:sz w:val="24"/>
                <w:szCs w:val="24"/>
              </w:rPr>
            </w:pPr>
            <w:r>
              <w:rPr>
                <w:rFonts w:hint="eastAsia" w:ascii="宋体" w:hAnsi="宋体" w:cs="宋体"/>
                <w:sz w:val="24"/>
                <w:szCs w:val="24"/>
              </w:rPr>
              <w:t>0-8分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06" w:hRule="atLeast"/>
          <w:jc w:val="center"/>
        </w:trPr>
        <w:tc>
          <w:tcPr>
            <w:tcW w:w="1119" w:type="dxa"/>
            <w:vMerge w:val="continue"/>
            <w:vAlign w:val="center"/>
          </w:tcPr>
          <w:p>
            <w:pPr>
              <w:jc w:val="center"/>
              <w:rPr>
                <w:rFonts w:ascii="宋体" w:hAnsi="宋体" w:cs="宋体"/>
                <w:sz w:val="24"/>
                <w:szCs w:val="24"/>
              </w:rPr>
            </w:pPr>
          </w:p>
        </w:tc>
        <w:tc>
          <w:tcPr>
            <w:tcW w:w="1207" w:type="dxa"/>
            <w:vAlign w:val="center"/>
          </w:tcPr>
          <w:p>
            <w:pPr>
              <w:widowControl/>
              <w:jc w:val="center"/>
              <w:rPr>
                <w:rFonts w:ascii="宋体" w:hAnsi="宋体" w:cs="宋体"/>
                <w:sz w:val="24"/>
                <w:szCs w:val="24"/>
              </w:rPr>
            </w:pPr>
            <w:r>
              <w:rPr>
                <w:rFonts w:hint="eastAsia" w:ascii="宋体" w:hAnsi="宋体" w:cs="宋体"/>
                <w:sz w:val="24"/>
                <w:szCs w:val="24"/>
              </w:rPr>
              <w:t>体系认证</w:t>
            </w:r>
          </w:p>
        </w:tc>
        <w:tc>
          <w:tcPr>
            <w:tcW w:w="6525" w:type="dxa"/>
            <w:vAlign w:val="center"/>
          </w:tcPr>
          <w:p>
            <w:pPr>
              <w:widowControl/>
              <w:ind w:firstLine="480" w:firstLineChars="200"/>
              <w:rPr>
                <w:rFonts w:ascii="宋体" w:hAnsi="宋体" w:cs="宋体"/>
                <w:sz w:val="24"/>
                <w:szCs w:val="24"/>
              </w:rPr>
            </w:pPr>
            <w:r>
              <w:rPr>
                <w:rFonts w:hint="eastAsia" w:ascii="宋体" w:hAnsi="宋体" w:cs="宋体"/>
                <w:sz w:val="24"/>
                <w:szCs w:val="24"/>
              </w:rPr>
              <w:t>1、投标供应商具有有效期内的ISO9001质量管理体系认证证书，得1分；</w:t>
            </w:r>
          </w:p>
          <w:p>
            <w:pPr>
              <w:widowControl/>
              <w:ind w:firstLine="480" w:firstLineChars="200"/>
              <w:rPr>
                <w:rFonts w:ascii="宋体" w:hAnsi="宋体" w:cs="宋体"/>
                <w:sz w:val="24"/>
                <w:szCs w:val="24"/>
              </w:rPr>
            </w:pPr>
            <w:r>
              <w:rPr>
                <w:rFonts w:hint="eastAsia" w:ascii="宋体" w:hAnsi="宋体" w:cs="宋体"/>
                <w:sz w:val="24"/>
                <w:szCs w:val="24"/>
              </w:rPr>
              <w:t>2、投标供应商具有有效期内的ISO14001环境管理体系认证证书的，得1分；</w:t>
            </w:r>
          </w:p>
          <w:p>
            <w:pPr>
              <w:widowControl/>
              <w:ind w:firstLine="480" w:firstLineChars="200"/>
              <w:rPr>
                <w:rFonts w:ascii="宋体" w:hAnsi="宋体" w:cs="宋体"/>
                <w:sz w:val="24"/>
                <w:szCs w:val="24"/>
              </w:rPr>
            </w:pPr>
            <w:r>
              <w:rPr>
                <w:rFonts w:hint="eastAsia" w:ascii="宋体" w:hAnsi="宋体" w:cs="宋体"/>
                <w:sz w:val="24"/>
                <w:szCs w:val="24"/>
              </w:rPr>
              <w:t>3、投标供应商具有有效期内的OHSAS18001职业健康安全管理体系认证证书的，得1分；</w:t>
            </w:r>
          </w:p>
          <w:p>
            <w:pPr>
              <w:widowControl/>
              <w:ind w:firstLine="480" w:firstLineChars="200"/>
              <w:rPr>
                <w:rFonts w:ascii="宋体" w:hAnsi="宋体" w:cs="宋体"/>
                <w:sz w:val="24"/>
                <w:szCs w:val="24"/>
              </w:rPr>
            </w:pPr>
            <w:r>
              <w:rPr>
                <w:rFonts w:hint="eastAsia" w:ascii="宋体" w:hAnsi="宋体" w:cs="宋体"/>
                <w:sz w:val="24"/>
                <w:szCs w:val="24"/>
              </w:rPr>
              <w:t>4、投标供应商具有有效期内的ISO22000食品安全管理体系认证证书的，得1分；</w:t>
            </w:r>
          </w:p>
          <w:p>
            <w:pPr>
              <w:widowControl/>
              <w:ind w:firstLine="480" w:firstLineChars="200"/>
              <w:rPr>
                <w:rFonts w:ascii="宋体" w:hAnsi="宋体" w:cs="宋体"/>
                <w:sz w:val="24"/>
                <w:szCs w:val="24"/>
              </w:rPr>
            </w:pPr>
            <w:r>
              <w:rPr>
                <w:rFonts w:hint="eastAsia" w:ascii="宋体" w:hAnsi="宋体" w:cs="宋体"/>
                <w:sz w:val="24"/>
                <w:szCs w:val="24"/>
              </w:rPr>
              <w:t>5、投标供应商具有有效期内的HACCP食品安全管理体系认证证书的，得1分。</w:t>
            </w:r>
          </w:p>
          <w:p>
            <w:pPr>
              <w:widowControl/>
              <w:spacing w:beforeLines="50"/>
              <w:ind w:firstLine="482" w:firstLineChars="200"/>
              <w:rPr>
                <w:rFonts w:ascii="宋体" w:hAnsi="宋体" w:cs="宋体"/>
                <w:sz w:val="24"/>
                <w:szCs w:val="24"/>
              </w:rPr>
            </w:pPr>
            <w:r>
              <w:rPr>
                <w:rFonts w:hint="eastAsia" w:ascii="宋体" w:hAnsi="宋体" w:cs="宋体"/>
                <w:b/>
                <w:bCs/>
                <w:sz w:val="24"/>
                <w:szCs w:val="24"/>
              </w:rPr>
              <w:t>备注：投标时须提供上述认证证书的影印件及在“中国国家认证认可监督管理委员会”官网上的查询截图，否则不得分。</w:t>
            </w:r>
          </w:p>
        </w:tc>
        <w:tc>
          <w:tcPr>
            <w:tcW w:w="1063" w:type="dxa"/>
            <w:vAlign w:val="center"/>
          </w:tcPr>
          <w:p>
            <w:pPr>
              <w:jc w:val="center"/>
              <w:rPr>
                <w:rFonts w:ascii="宋体" w:hAnsi="宋体" w:cs="宋体"/>
                <w:sz w:val="24"/>
                <w:szCs w:val="24"/>
              </w:rPr>
            </w:pPr>
            <w:r>
              <w:rPr>
                <w:rFonts w:hint="eastAsia" w:ascii="宋体" w:hAnsi="宋体" w:cs="宋体"/>
                <w:sz w:val="24"/>
                <w:szCs w:val="24"/>
              </w:rPr>
              <w:t>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24" w:hRule="atLeast"/>
          <w:jc w:val="center"/>
        </w:trPr>
        <w:tc>
          <w:tcPr>
            <w:tcW w:w="1119" w:type="dxa"/>
            <w:vMerge w:val="continue"/>
            <w:vAlign w:val="center"/>
          </w:tcPr>
          <w:p>
            <w:pPr>
              <w:jc w:val="center"/>
              <w:rPr>
                <w:rFonts w:ascii="宋体" w:hAnsi="宋体" w:cs="宋体"/>
                <w:sz w:val="24"/>
                <w:szCs w:val="24"/>
              </w:rPr>
            </w:pPr>
          </w:p>
        </w:tc>
        <w:tc>
          <w:tcPr>
            <w:tcW w:w="1207" w:type="dxa"/>
            <w:vAlign w:val="center"/>
          </w:tcPr>
          <w:p>
            <w:pPr>
              <w:widowControl/>
              <w:jc w:val="center"/>
              <w:rPr>
                <w:rFonts w:ascii="宋体" w:hAnsi="宋体" w:cs="宋体"/>
                <w:sz w:val="24"/>
                <w:szCs w:val="24"/>
              </w:rPr>
            </w:pPr>
            <w:r>
              <w:rPr>
                <w:rFonts w:hint="eastAsia" w:ascii="宋体" w:hAnsi="宋体" w:cs="宋体"/>
                <w:sz w:val="24"/>
                <w:szCs w:val="24"/>
              </w:rPr>
              <w:t>获奖情况</w:t>
            </w:r>
          </w:p>
        </w:tc>
        <w:tc>
          <w:tcPr>
            <w:tcW w:w="6525" w:type="dxa"/>
            <w:vAlign w:val="center"/>
          </w:tcPr>
          <w:p>
            <w:pPr>
              <w:widowControl/>
              <w:ind w:firstLine="480" w:firstLineChars="200"/>
              <w:rPr>
                <w:rFonts w:ascii="宋体" w:hAnsi="宋体" w:cs="宋体"/>
                <w:sz w:val="24"/>
                <w:szCs w:val="24"/>
              </w:rPr>
            </w:pPr>
            <w:r>
              <w:rPr>
                <w:rFonts w:hint="eastAsia" w:ascii="宋体" w:hAnsi="宋体" w:cs="宋体"/>
                <w:sz w:val="24"/>
                <w:szCs w:val="24"/>
              </w:rPr>
              <w:t>1、自2015年1月1日至今，投标供应商或其承包的食堂被市级及以上的食品药品监督管理部门或卫生行政部门或教育主管部门授予“A级单位”或“A级食堂”或“示范食堂”或“餐饮服务食品安全示范单位”等类似称号的，</w:t>
            </w:r>
            <w:r>
              <w:rPr>
                <w:rFonts w:hint="eastAsia" w:ascii="宋体" w:hAnsi="宋体" w:cs="宋体"/>
                <w:color w:val="0D0DF1"/>
                <w:sz w:val="24"/>
                <w:szCs w:val="24"/>
              </w:rPr>
              <w:t>每提供一项得1分，本小项最高4分。</w:t>
            </w:r>
          </w:p>
          <w:p>
            <w:pPr>
              <w:widowControl/>
              <w:spacing w:beforeLines="50"/>
              <w:ind w:firstLine="480" w:firstLineChars="200"/>
              <w:rPr>
                <w:rFonts w:ascii="宋体" w:hAnsi="宋体" w:cs="宋体"/>
                <w:color w:val="FF0000"/>
                <w:sz w:val="24"/>
                <w:szCs w:val="24"/>
              </w:rPr>
            </w:pPr>
            <w:r>
              <w:rPr>
                <w:rFonts w:hint="eastAsia" w:ascii="宋体" w:hAnsi="宋体" w:cs="宋体"/>
                <w:sz w:val="24"/>
                <w:szCs w:val="24"/>
              </w:rPr>
              <w:t>2、自2015年1月1日至今，投标供应商获得中国烹饪协会或中国饭店协会表彰的，</w:t>
            </w:r>
            <w:r>
              <w:rPr>
                <w:rFonts w:hint="eastAsia" w:ascii="宋体" w:hAnsi="宋体" w:cs="宋体"/>
                <w:color w:val="0D0DF1"/>
                <w:sz w:val="24"/>
                <w:szCs w:val="24"/>
              </w:rPr>
              <w:t>每提供一项得1分，本小项最高3分。</w:t>
            </w:r>
          </w:p>
          <w:p>
            <w:pPr>
              <w:widowControl/>
              <w:spacing w:beforeLines="50"/>
              <w:ind w:firstLine="482" w:firstLineChars="200"/>
              <w:rPr>
                <w:rFonts w:ascii="宋体" w:hAnsi="宋体" w:cs="宋体"/>
                <w:sz w:val="24"/>
                <w:szCs w:val="24"/>
              </w:rPr>
            </w:pPr>
            <w:r>
              <w:rPr>
                <w:rFonts w:hint="eastAsia" w:ascii="宋体" w:hAnsi="宋体" w:cs="宋体"/>
                <w:b/>
                <w:bCs/>
                <w:sz w:val="24"/>
                <w:szCs w:val="24"/>
              </w:rPr>
              <w:t>备注：投标文件中须提供相关获奖证书（或铭牌）的复印件或影印件，获奖时间以证书或铭牌落款时间为准。如证书或铭牌上无法反映出获奖单位的名称，则须相应的颁奖单位或业主出具书面材料证明，证明此奖项为投标供应商或其经营的食堂获得。以上材料必须提供齐全，未提供或者提供不全的不得分）</w:t>
            </w:r>
          </w:p>
        </w:tc>
        <w:tc>
          <w:tcPr>
            <w:tcW w:w="1063" w:type="dxa"/>
            <w:vAlign w:val="center"/>
          </w:tcPr>
          <w:p>
            <w:pPr>
              <w:jc w:val="center"/>
              <w:rPr>
                <w:rFonts w:ascii="宋体" w:hAnsi="宋体" w:cs="宋体"/>
                <w:sz w:val="24"/>
                <w:szCs w:val="24"/>
              </w:rPr>
            </w:pPr>
            <w:r>
              <w:rPr>
                <w:rFonts w:hint="eastAsia" w:ascii="宋体" w:hAnsi="宋体" w:cs="宋体"/>
                <w:sz w:val="24"/>
                <w:szCs w:val="24"/>
              </w:rPr>
              <w:t>0-7分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119" w:type="dxa"/>
            <w:vMerge w:val="continue"/>
            <w:vAlign w:val="center"/>
          </w:tcPr>
          <w:p>
            <w:pPr>
              <w:jc w:val="center"/>
              <w:rPr>
                <w:rFonts w:ascii="宋体" w:hAnsi="宋体" w:cs="宋体"/>
                <w:sz w:val="24"/>
                <w:szCs w:val="24"/>
              </w:rPr>
            </w:pPr>
          </w:p>
        </w:tc>
        <w:tc>
          <w:tcPr>
            <w:tcW w:w="1207" w:type="dxa"/>
            <w:vAlign w:val="center"/>
          </w:tcPr>
          <w:p>
            <w:pPr>
              <w:widowControl/>
              <w:jc w:val="center"/>
              <w:rPr>
                <w:rFonts w:ascii="宋体" w:hAnsi="宋体" w:cs="宋体"/>
                <w:sz w:val="24"/>
                <w:szCs w:val="24"/>
              </w:rPr>
            </w:pPr>
            <w:r>
              <w:rPr>
                <w:rFonts w:hint="eastAsia" w:ascii="宋体" w:hAnsi="宋体" w:cs="宋体"/>
                <w:sz w:val="24"/>
                <w:szCs w:val="24"/>
              </w:rPr>
              <w:t>人员配备</w:t>
            </w:r>
          </w:p>
        </w:tc>
        <w:tc>
          <w:tcPr>
            <w:tcW w:w="6525" w:type="dxa"/>
            <w:vAlign w:val="center"/>
          </w:tcPr>
          <w:p>
            <w:pPr>
              <w:widowControl/>
              <w:spacing w:beforeLines="50" w:afterLines="50"/>
              <w:ind w:firstLine="480" w:firstLineChars="200"/>
              <w:rPr>
                <w:rFonts w:ascii="宋体" w:hAnsi="宋体" w:cs="宋体"/>
                <w:sz w:val="24"/>
                <w:szCs w:val="24"/>
              </w:rPr>
            </w:pPr>
            <w:r>
              <w:rPr>
                <w:rFonts w:hint="eastAsia" w:ascii="宋体" w:hAnsi="宋体" w:cs="宋体"/>
                <w:sz w:val="24"/>
                <w:szCs w:val="24"/>
              </w:rPr>
              <w:t>1、食堂人员安排合理得2分，不合理则不得分。</w:t>
            </w:r>
          </w:p>
          <w:p>
            <w:pPr>
              <w:widowControl/>
              <w:spacing w:afterLines="50"/>
              <w:ind w:firstLine="480" w:firstLineChars="200"/>
              <w:rPr>
                <w:rFonts w:ascii="宋体" w:hAnsi="宋体" w:cs="宋体"/>
                <w:sz w:val="24"/>
                <w:szCs w:val="24"/>
              </w:rPr>
            </w:pPr>
            <w:r>
              <w:rPr>
                <w:rFonts w:hint="eastAsia" w:ascii="宋体" w:hAnsi="宋体" w:cs="宋体"/>
                <w:sz w:val="24"/>
                <w:szCs w:val="24"/>
              </w:rPr>
              <w:t>2、拟派项目经理曾担任高校食堂经理（负责人）工作且连续3年及以上的，得3分；少于3年则不得分。（投标时须提供投标供应商为其缴纳的连续社保证明复印件，以及所服务的高校提供的连续工作经历证明）。</w:t>
            </w:r>
          </w:p>
          <w:p>
            <w:pPr>
              <w:widowControl/>
              <w:spacing w:afterLines="50"/>
              <w:ind w:firstLine="480" w:firstLineChars="200"/>
              <w:rPr>
                <w:rFonts w:ascii="宋体" w:hAnsi="宋体" w:cs="宋体"/>
                <w:sz w:val="24"/>
                <w:szCs w:val="24"/>
              </w:rPr>
            </w:pPr>
            <w:r>
              <w:rPr>
                <w:rFonts w:hint="eastAsia" w:ascii="宋体" w:hAnsi="宋体" w:cs="宋体"/>
                <w:color w:val="0000FF"/>
                <w:sz w:val="24"/>
                <w:szCs w:val="24"/>
              </w:rPr>
              <w:t>3、拟派项目经理具有专科学历或高级中式烹调师资格的，得1分，具有本科学历或烹饪技师以上资格的，得2分。</w:t>
            </w:r>
            <w:r>
              <w:rPr>
                <w:rFonts w:hint="eastAsia" w:ascii="宋体" w:hAnsi="宋体" w:cs="宋体"/>
                <w:sz w:val="24"/>
                <w:szCs w:val="24"/>
              </w:rPr>
              <w:t>（投标时须提供毕业证书或职业资格证书复印或扫描件，高级中式烹调师证书为“三级”，烹饪技师及以上证书为“二级及以上”）。</w:t>
            </w:r>
          </w:p>
          <w:p>
            <w:pPr>
              <w:widowControl/>
              <w:spacing w:afterLines="50"/>
              <w:ind w:firstLine="480" w:firstLineChars="200"/>
              <w:rPr>
                <w:rFonts w:ascii="宋体" w:hAnsi="宋体" w:cs="宋体"/>
                <w:sz w:val="24"/>
                <w:szCs w:val="24"/>
              </w:rPr>
            </w:pPr>
            <w:r>
              <w:rPr>
                <w:rFonts w:hint="eastAsia" w:ascii="宋体" w:hAnsi="宋体" w:cs="宋体"/>
                <w:sz w:val="24"/>
                <w:szCs w:val="24"/>
              </w:rPr>
              <w:t>4、投标供应商拟聘厨师长、主管、仓库管理员等主要管理人员为本单位正式员工的，每提供1人的社保证明得1分，本小项最高得3分。（投标时须提供投标供应商为上述员工所缴纳的2018年1-5月的连续五个月的社保证明材料复印件）</w:t>
            </w:r>
          </w:p>
          <w:p>
            <w:pPr>
              <w:widowControl/>
              <w:spacing w:before="153"/>
              <w:ind w:firstLine="482" w:firstLineChars="200"/>
              <w:rPr>
                <w:rFonts w:ascii="宋体" w:hAnsi="宋体" w:cs="宋体"/>
                <w:sz w:val="24"/>
                <w:szCs w:val="24"/>
              </w:rPr>
            </w:pPr>
            <w:r>
              <w:rPr>
                <w:rFonts w:hint="eastAsia" w:ascii="宋体" w:hAnsi="宋体" w:cs="宋体"/>
                <w:b/>
                <w:bCs/>
                <w:sz w:val="24"/>
                <w:szCs w:val="24"/>
              </w:rPr>
              <w:t>备注：上述社保证明格式参照本招标文件对授权委托人的社保格式要求。如未能提供或社保证明模糊导致无法识别的，则对应项评审不得分。</w:t>
            </w:r>
          </w:p>
        </w:tc>
        <w:tc>
          <w:tcPr>
            <w:tcW w:w="1063" w:type="dxa"/>
            <w:vAlign w:val="center"/>
          </w:tcPr>
          <w:p>
            <w:pPr>
              <w:jc w:val="center"/>
              <w:rPr>
                <w:rFonts w:ascii="宋体" w:hAnsi="宋体" w:cs="宋体"/>
                <w:sz w:val="24"/>
                <w:szCs w:val="24"/>
              </w:rPr>
            </w:pPr>
            <w:r>
              <w:rPr>
                <w:rFonts w:hint="eastAsia" w:ascii="宋体" w:hAnsi="宋体" w:cs="宋体"/>
                <w:sz w:val="24"/>
                <w:szCs w:val="24"/>
              </w:rPr>
              <w:t>0-10分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83" w:hRule="atLeast"/>
          <w:jc w:val="center"/>
        </w:trPr>
        <w:tc>
          <w:tcPr>
            <w:tcW w:w="1119" w:type="dxa"/>
            <w:vMerge w:val="restart"/>
            <w:vAlign w:val="center"/>
          </w:tcPr>
          <w:p>
            <w:pPr>
              <w:jc w:val="center"/>
              <w:rPr>
                <w:rFonts w:ascii="宋体" w:hAnsi="宋体" w:cs="宋体"/>
                <w:b/>
                <w:bCs/>
                <w:sz w:val="24"/>
                <w:szCs w:val="24"/>
              </w:rPr>
            </w:pPr>
            <w:r>
              <w:rPr>
                <w:rFonts w:hint="eastAsia" w:ascii="宋体" w:hAnsi="宋体" w:cs="宋体"/>
                <w:sz w:val="24"/>
                <w:szCs w:val="24"/>
              </w:rPr>
              <w:t>经营方案及承诺（满分37分）</w:t>
            </w:r>
          </w:p>
        </w:tc>
        <w:tc>
          <w:tcPr>
            <w:tcW w:w="1207" w:type="dxa"/>
            <w:vAlign w:val="center"/>
          </w:tcPr>
          <w:p>
            <w:pPr>
              <w:jc w:val="center"/>
              <w:rPr>
                <w:rFonts w:ascii="宋体" w:hAnsi="宋体" w:cs="宋体"/>
                <w:sz w:val="24"/>
                <w:szCs w:val="24"/>
              </w:rPr>
            </w:pPr>
            <w:r>
              <w:rPr>
                <w:rFonts w:hint="eastAsia" w:ascii="宋体" w:hAnsi="宋体" w:cs="宋体"/>
                <w:sz w:val="24"/>
                <w:szCs w:val="24"/>
              </w:rPr>
              <w:t>捐献比例</w:t>
            </w:r>
          </w:p>
        </w:tc>
        <w:tc>
          <w:tcPr>
            <w:tcW w:w="6525" w:type="dxa"/>
            <w:vAlign w:val="center"/>
          </w:tcPr>
          <w:p>
            <w:pPr>
              <w:ind w:firstLine="480" w:firstLineChars="200"/>
              <w:jc w:val="left"/>
              <w:rPr>
                <w:rFonts w:ascii="宋体" w:hAnsi="宋体" w:cs="宋体"/>
                <w:sz w:val="24"/>
                <w:szCs w:val="24"/>
              </w:rPr>
            </w:pPr>
            <w:r>
              <w:rPr>
                <w:rFonts w:hint="eastAsia" w:ascii="宋体" w:hAnsi="宋体" w:cs="宋体"/>
                <w:sz w:val="24"/>
                <w:szCs w:val="24"/>
              </w:rPr>
              <w:t>满足招标文件要求且捐献比例最高（即占营业额百分比最大）得10分，其他投标供应商的捐献比例得分＝（某家捐献比例/最高捐献比例）×10。</w:t>
            </w:r>
          </w:p>
          <w:p>
            <w:pPr>
              <w:ind w:firstLine="480" w:firstLineChars="200"/>
              <w:jc w:val="left"/>
              <w:rPr>
                <w:rFonts w:ascii="宋体" w:hAnsi="宋体" w:cs="宋体"/>
                <w:sz w:val="24"/>
                <w:szCs w:val="24"/>
              </w:rPr>
            </w:pPr>
            <w:r>
              <w:rPr>
                <w:rFonts w:hint="eastAsia" w:ascii="宋体" w:hAnsi="宋体" w:cs="宋体"/>
                <w:sz w:val="24"/>
                <w:szCs w:val="24"/>
              </w:rPr>
              <w:t>备注：</w:t>
            </w:r>
            <w:r>
              <w:rPr>
                <w:rFonts w:hint="eastAsia" w:ascii="宋体" w:hAnsi="宋体" w:cs="宋体"/>
                <w:color w:val="1515C4"/>
                <w:sz w:val="24"/>
                <w:szCs w:val="24"/>
              </w:rPr>
              <w:t>（1）当3%≤捐献比例≤5%时，按上述公式进行计算分数，得分最终保留两位有效小数。（2）如捐献比例低于3%或高于5%，则本项得0分。</w:t>
            </w:r>
          </w:p>
        </w:tc>
        <w:tc>
          <w:tcPr>
            <w:tcW w:w="1063" w:type="dxa"/>
            <w:vAlign w:val="center"/>
          </w:tcPr>
          <w:p>
            <w:pPr>
              <w:jc w:val="center"/>
              <w:rPr>
                <w:rFonts w:ascii="宋体" w:hAnsi="宋体" w:cs="宋体"/>
                <w:sz w:val="24"/>
                <w:szCs w:val="24"/>
              </w:rPr>
            </w:pPr>
            <w:r>
              <w:rPr>
                <w:rFonts w:hint="eastAsia" w:ascii="宋体" w:hAnsi="宋体" w:cs="宋体"/>
                <w:sz w:val="24"/>
                <w:szCs w:val="24"/>
              </w:rPr>
              <w:t>0-10分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71" w:hRule="atLeast"/>
          <w:jc w:val="center"/>
        </w:trPr>
        <w:tc>
          <w:tcPr>
            <w:tcW w:w="1119" w:type="dxa"/>
            <w:vMerge w:val="continue"/>
            <w:vAlign w:val="center"/>
          </w:tcPr>
          <w:p>
            <w:pPr>
              <w:jc w:val="center"/>
              <w:rPr>
                <w:rFonts w:ascii="宋体" w:hAnsi="宋体" w:cs="宋体"/>
                <w:sz w:val="24"/>
                <w:szCs w:val="24"/>
              </w:rPr>
            </w:pPr>
          </w:p>
        </w:tc>
        <w:tc>
          <w:tcPr>
            <w:tcW w:w="1207" w:type="dxa"/>
            <w:vAlign w:val="center"/>
          </w:tcPr>
          <w:p>
            <w:pPr>
              <w:widowControl/>
              <w:jc w:val="center"/>
              <w:rPr>
                <w:rFonts w:ascii="宋体" w:hAnsi="宋体" w:cs="宋体"/>
                <w:sz w:val="24"/>
                <w:szCs w:val="24"/>
              </w:rPr>
            </w:pPr>
            <w:r>
              <w:rPr>
                <w:rFonts w:hint="eastAsia" w:ascii="宋体" w:hAnsi="宋体" w:cs="宋体"/>
                <w:sz w:val="24"/>
                <w:szCs w:val="24"/>
              </w:rPr>
              <w:t>总体经营</w:t>
            </w:r>
          </w:p>
          <w:p>
            <w:pPr>
              <w:widowControl/>
              <w:jc w:val="center"/>
              <w:rPr>
                <w:rFonts w:ascii="宋体" w:hAnsi="宋体" w:cs="宋体"/>
                <w:sz w:val="24"/>
                <w:szCs w:val="24"/>
              </w:rPr>
            </w:pPr>
            <w:r>
              <w:rPr>
                <w:rFonts w:hint="eastAsia" w:ascii="宋体" w:hAnsi="宋体" w:cs="宋体"/>
                <w:sz w:val="24"/>
                <w:szCs w:val="24"/>
              </w:rPr>
              <w:t>目标思路</w:t>
            </w:r>
          </w:p>
        </w:tc>
        <w:tc>
          <w:tcPr>
            <w:tcW w:w="6525" w:type="dxa"/>
            <w:vAlign w:val="center"/>
          </w:tcPr>
          <w:p>
            <w:pPr>
              <w:ind w:firstLine="480" w:firstLineChars="200"/>
              <w:jc w:val="left"/>
              <w:rPr>
                <w:rFonts w:ascii="宋体" w:hAnsi="宋体" w:cs="宋体"/>
                <w:sz w:val="24"/>
                <w:szCs w:val="24"/>
              </w:rPr>
            </w:pPr>
            <w:r>
              <w:rPr>
                <w:rFonts w:hint="eastAsia" w:ascii="宋体" w:hAnsi="宋体" w:cs="宋体"/>
                <w:sz w:val="24"/>
                <w:szCs w:val="24"/>
              </w:rPr>
              <w:t>1、了解高校办伙特点，从服务对象实际出发，把社会效益放在第一位，坚持社会效益和经济效益并重，得2分，不符合得0分。</w:t>
            </w:r>
          </w:p>
          <w:p>
            <w:pPr>
              <w:ind w:firstLine="480" w:firstLineChars="200"/>
              <w:jc w:val="left"/>
              <w:rPr>
                <w:rFonts w:ascii="宋体" w:hAnsi="宋体" w:cs="宋体"/>
                <w:sz w:val="24"/>
                <w:szCs w:val="24"/>
              </w:rPr>
            </w:pPr>
            <w:r>
              <w:rPr>
                <w:rFonts w:hint="eastAsia" w:ascii="宋体" w:hAnsi="宋体" w:cs="宋体"/>
                <w:sz w:val="24"/>
                <w:szCs w:val="24"/>
              </w:rPr>
              <w:t>2、办伙思路清晰、特色明显，得2分，不符合得0分</w:t>
            </w:r>
          </w:p>
        </w:tc>
        <w:tc>
          <w:tcPr>
            <w:tcW w:w="1063" w:type="dxa"/>
            <w:vAlign w:val="center"/>
          </w:tcPr>
          <w:p>
            <w:pPr>
              <w:jc w:val="center"/>
              <w:rPr>
                <w:rFonts w:ascii="宋体" w:hAnsi="宋体" w:cs="宋体"/>
                <w:sz w:val="24"/>
                <w:szCs w:val="24"/>
              </w:rPr>
            </w:pPr>
            <w:r>
              <w:rPr>
                <w:rFonts w:hint="eastAsia" w:ascii="宋体" w:hAnsi="宋体" w:cs="宋体"/>
                <w:sz w:val="24"/>
                <w:szCs w:val="24"/>
              </w:rPr>
              <w:t>0-4分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56" w:hRule="atLeast"/>
          <w:jc w:val="center"/>
        </w:trPr>
        <w:tc>
          <w:tcPr>
            <w:tcW w:w="1119" w:type="dxa"/>
            <w:vMerge w:val="continue"/>
            <w:vAlign w:val="center"/>
          </w:tcPr>
          <w:p>
            <w:pPr>
              <w:jc w:val="center"/>
              <w:rPr>
                <w:rFonts w:ascii="宋体" w:hAnsi="宋体" w:cs="宋体"/>
                <w:sz w:val="24"/>
                <w:szCs w:val="24"/>
              </w:rPr>
            </w:pPr>
          </w:p>
        </w:tc>
        <w:tc>
          <w:tcPr>
            <w:tcW w:w="1207" w:type="dxa"/>
            <w:vAlign w:val="center"/>
          </w:tcPr>
          <w:p>
            <w:pPr>
              <w:widowControl/>
              <w:jc w:val="center"/>
              <w:rPr>
                <w:rFonts w:ascii="宋体" w:hAnsi="宋体" w:cs="宋体"/>
                <w:sz w:val="24"/>
                <w:szCs w:val="24"/>
              </w:rPr>
            </w:pPr>
            <w:r>
              <w:rPr>
                <w:rFonts w:hint="eastAsia" w:ascii="宋体" w:hAnsi="宋体" w:cs="宋体"/>
                <w:sz w:val="24"/>
                <w:szCs w:val="24"/>
              </w:rPr>
              <w:t>经营方案</w:t>
            </w:r>
          </w:p>
        </w:tc>
        <w:tc>
          <w:tcPr>
            <w:tcW w:w="6525" w:type="dxa"/>
            <w:vAlign w:val="center"/>
          </w:tcPr>
          <w:p>
            <w:pPr>
              <w:ind w:firstLine="480" w:firstLineChars="200"/>
              <w:jc w:val="left"/>
              <w:rPr>
                <w:rFonts w:ascii="宋体" w:hAnsi="宋体" w:cs="宋体"/>
                <w:sz w:val="24"/>
                <w:szCs w:val="24"/>
              </w:rPr>
            </w:pPr>
            <w:r>
              <w:rPr>
                <w:rFonts w:hint="eastAsia" w:ascii="宋体" w:hAnsi="宋体" w:cs="宋体"/>
                <w:sz w:val="24"/>
                <w:szCs w:val="24"/>
              </w:rPr>
              <w:t>1、供应主辅食品品种丰富得2分，不丰富得0分。</w:t>
            </w:r>
          </w:p>
          <w:p>
            <w:pPr>
              <w:ind w:firstLine="480" w:firstLineChars="200"/>
              <w:jc w:val="left"/>
              <w:rPr>
                <w:rFonts w:ascii="宋体" w:hAnsi="宋体" w:cs="宋体"/>
                <w:sz w:val="24"/>
                <w:szCs w:val="24"/>
              </w:rPr>
            </w:pPr>
            <w:r>
              <w:rPr>
                <w:rFonts w:hint="eastAsia" w:ascii="宋体" w:hAnsi="宋体" w:cs="宋体"/>
                <w:sz w:val="24"/>
                <w:szCs w:val="24"/>
              </w:rPr>
              <w:t>2、食品价格公道，高中低档菜肴比例合适得2分，不合适的得0分。</w:t>
            </w:r>
          </w:p>
          <w:p>
            <w:pPr>
              <w:ind w:firstLine="480" w:firstLineChars="200"/>
              <w:jc w:val="left"/>
              <w:rPr>
                <w:rFonts w:ascii="宋体" w:hAnsi="宋体" w:cs="宋体"/>
                <w:sz w:val="24"/>
                <w:szCs w:val="24"/>
              </w:rPr>
            </w:pPr>
            <w:r>
              <w:rPr>
                <w:rFonts w:hint="eastAsia" w:ascii="宋体" w:hAnsi="宋体" w:cs="宋体"/>
                <w:sz w:val="24"/>
                <w:szCs w:val="24"/>
              </w:rPr>
              <w:t>3、餐饮成本核算科学，毛利润控制符合规定得2分，超出此范围得0分。</w:t>
            </w:r>
          </w:p>
        </w:tc>
        <w:tc>
          <w:tcPr>
            <w:tcW w:w="1063" w:type="dxa"/>
            <w:vAlign w:val="center"/>
          </w:tcPr>
          <w:p>
            <w:pPr>
              <w:jc w:val="center"/>
              <w:rPr>
                <w:rFonts w:ascii="宋体" w:hAnsi="宋体" w:cs="宋体"/>
                <w:sz w:val="24"/>
                <w:szCs w:val="24"/>
              </w:rPr>
            </w:pPr>
            <w:r>
              <w:rPr>
                <w:rFonts w:hint="eastAsia" w:ascii="宋体" w:hAnsi="宋体" w:cs="宋体"/>
                <w:sz w:val="24"/>
                <w:szCs w:val="24"/>
              </w:rPr>
              <w:t>0-6分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27" w:hRule="atLeast"/>
          <w:jc w:val="center"/>
        </w:trPr>
        <w:tc>
          <w:tcPr>
            <w:tcW w:w="1119" w:type="dxa"/>
            <w:vMerge w:val="continue"/>
            <w:vAlign w:val="center"/>
          </w:tcPr>
          <w:p>
            <w:pPr>
              <w:jc w:val="center"/>
              <w:rPr>
                <w:rFonts w:ascii="宋体" w:hAnsi="宋体" w:cs="宋体"/>
                <w:sz w:val="24"/>
                <w:szCs w:val="24"/>
              </w:rPr>
            </w:pPr>
          </w:p>
        </w:tc>
        <w:tc>
          <w:tcPr>
            <w:tcW w:w="1207" w:type="dxa"/>
            <w:vAlign w:val="center"/>
          </w:tcPr>
          <w:p>
            <w:pPr>
              <w:widowControl/>
              <w:jc w:val="center"/>
              <w:rPr>
                <w:rFonts w:ascii="宋体" w:hAnsi="宋体" w:cs="宋体"/>
                <w:sz w:val="24"/>
                <w:szCs w:val="24"/>
              </w:rPr>
            </w:pPr>
            <w:r>
              <w:rPr>
                <w:rFonts w:hint="eastAsia" w:ascii="宋体" w:hAnsi="宋体" w:cs="宋体"/>
                <w:sz w:val="24"/>
                <w:szCs w:val="24"/>
              </w:rPr>
              <w:t>管理制度和措施</w:t>
            </w:r>
          </w:p>
        </w:tc>
        <w:tc>
          <w:tcPr>
            <w:tcW w:w="6525" w:type="dxa"/>
            <w:vAlign w:val="center"/>
          </w:tcPr>
          <w:p>
            <w:pPr>
              <w:ind w:firstLine="480" w:firstLineChars="200"/>
              <w:jc w:val="left"/>
              <w:rPr>
                <w:rFonts w:ascii="宋体" w:hAnsi="宋体" w:cs="宋体"/>
                <w:sz w:val="24"/>
                <w:szCs w:val="24"/>
              </w:rPr>
            </w:pPr>
            <w:r>
              <w:rPr>
                <w:rFonts w:hint="eastAsia" w:ascii="宋体" w:hAnsi="宋体" w:cs="宋体"/>
                <w:sz w:val="24"/>
                <w:szCs w:val="24"/>
              </w:rPr>
              <w:t>1、按《食品安全法》及学校的有关规定制定食堂各项制度，得1分，没有得0分。</w:t>
            </w:r>
          </w:p>
          <w:p>
            <w:pPr>
              <w:ind w:firstLine="480" w:firstLineChars="200"/>
              <w:jc w:val="left"/>
              <w:rPr>
                <w:rFonts w:ascii="宋体" w:hAnsi="宋体" w:cs="宋体"/>
                <w:sz w:val="24"/>
                <w:szCs w:val="24"/>
              </w:rPr>
            </w:pPr>
            <w:r>
              <w:rPr>
                <w:rFonts w:hint="eastAsia" w:ascii="宋体" w:hAnsi="宋体" w:cs="宋体"/>
                <w:sz w:val="24"/>
                <w:szCs w:val="24"/>
              </w:rPr>
              <w:t>2、各项制度具体落实措施及办法，有得1分，没有得0分。</w:t>
            </w:r>
          </w:p>
          <w:p>
            <w:pPr>
              <w:ind w:firstLine="480" w:firstLineChars="200"/>
              <w:jc w:val="left"/>
              <w:rPr>
                <w:rFonts w:ascii="宋体" w:hAnsi="宋体" w:cs="宋体"/>
                <w:sz w:val="24"/>
                <w:szCs w:val="24"/>
              </w:rPr>
            </w:pPr>
            <w:r>
              <w:rPr>
                <w:rFonts w:hint="eastAsia" w:ascii="宋体" w:hAnsi="宋体" w:cs="宋体"/>
                <w:sz w:val="24"/>
                <w:szCs w:val="24"/>
              </w:rPr>
              <w:t>3、采购索证、出入库台账制度，健全得1分，不健全的得0分。</w:t>
            </w:r>
          </w:p>
          <w:p>
            <w:pPr>
              <w:ind w:firstLine="480" w:firstLineChars="200"/>
              <w:jc w:val="left"/>
              <w:rPr>
                <w:rFonts w:ascii="宋体" w:hAnsi="宋体" w:cs="宋体"/>
                <w:sz w:val="24"/>
                <w:szCs w:val="24"/>
              </w:rPr>
            </w:pPr>
            <w:r>
              <w:rPr>
                <w:rFonts w:hint="eastAsia" w:ascii="宋体" w:hAnsi="宋体" w:cs="宋体"/>
                <w:sz w:val="24"/>
                <w:szCs w:val="24"/>
              </w:rPr>
              <w:t>4、食品卫生安全与伙食质量控制制度，健全的得1分，不健全的得0分。</w:t>
            </w:r>
          </w:p>
          <w:p>
            <w:pPr>
              <w:ind w:firstLine="480" w:firstLineChars="200"/>
              <w:jc w:val="left"/>
              <w:rPr>
                <w:rFonts w:ascii="宋体" w:hAnsi="宋体" w:cs="宋体"/>
                <w:sz w:val="24"/>
                <w:szCs w:val="24"/>
              </w:rPr>
            </w:pPr>
            <w:r>
              <w:rPr>
                <w:rFonts w:hint="eastAsia" w:ascii="宋体" w:hAnsi="宋体" w:cs="宋体"/>
                <w:sz w:val="24"/>
                <w:szCs w:val="24"/>
              </w:rPr>
              <w:t>5、食品加工、销售与储存及餐饮具消毒制度，健全的得1分，不健全得0分。</w:t>
            </w:r>
          </w:p>
          <w:p>
            <w:pPr>
              <w:ind w:firstLine="480" w:firstLineChars="200"/>
              <w:jc w:val="left"/>
              <w:rPr>
                <w:rFonts w:ascii="宋体" w:hAnsi="宋体" w:cs="宋体"/>
                <w:sz w:val="24"/>
                <w:szCs w:val="24"/>
              </w:rPr>
            </w:pPr>
            <w:r>
              <w:rPr>
                <w:rFonts w:hint="eastAsia" w:ascii="宋体" w:hAnsi="宋体" w:cs="宋体"/>
                <w:sz w:val="24"/>
                <w:szCs w:val="24"/>
              </w:rPr>
              <w:t>6、员工管理制度，健全得1分，不健全得0分。</w:t>
            </w:r>
          </w:p>
          <w:p>
            <w:pPr>
              <w:ind w:firstLine="480" w:firstLineChars="200"/>
              <w:jc w:val="left"/>
              <w:rPr>
                <w:rFonts w:ascii="宋体" w:hAnsi="宋体" w:cs="宋体"/>
                <w:sz w:val="24"/>
                <w:szCs w:val="24"/>
              </w:rPr>
            </w:pPr>
            <w:r>
              <w:rPr>
                <w:rFonts w:hint="eastAsia" w:ascii="宋体" w:hAnsi="宋体" w:cs="宋体"/>
                <w:sz w:val="24"/>
                <w:szCs w:val="24"/>
              </w:rPr>
              <w:t>7、员工的管理与教育长效化，符合要求的得1分，不合理的得0分。</w:t>
            </w:r>
          </w:p>
        </w:tc>
        <w:tc>
          <w:tcPr>
            <w:tcW w:w="1063" w:type="dxa"/>
            <w:vAlign w:val="center"/>
          </w:tcPr>
          <w:p>
            <w:pPr>
              <w:jc w:val="center"/>
              <w:rPr>
                <w:rFonts w:ascii="宋体" w:hAnsi="宋体" w:cs="宋体"/>
                <w:sz w:val="24"/>
                <w:szCs w:val="24"/>
              </w:rPr>
            </w:pPr>
            <w:r>
              <w:rPr>
                <w:rFonts w:hint="eastAsia" w:ascii="宋体" w:hAnsi="宋体" w:cs="宋体"/>
                <w:sz w:val="24"/>
                <w:szCs w:val="24"/>
              </w:rPr>
              <w:t>0-7分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8" w:hRule="atLeast"/>
          <w:jc w:val="center"/>
        </w:trPr>
        <w:tc>
          <w:tcPr>
            <w:tcW w:w="1119" w:type="dxa"/>
            <w:vMerge w:val="continue"/>
            <w:vAlign w:val="center"/>
          </w:tcPr>
          <w:p>
            <w:pPr>
              <w:jc w:val="center"/>
              <w:rPr>
                <w:rFonts w:ascii="宋体" w:hAnsi="宋体" w:cs="宋体"/>
                <w:sz w:val="24"/>
                <w:szCs w:val="24"/>
              </w:rPr>
            </w:pPr>
          </w:p>
        </w:tc>
        <w:tc>
          <w:tcPr>
            <w:tcW w:w="1207" w:type="dxa"/>
            <w:vAlign w:val="center"/>
          </w:tcPr>
          <w:p>
            <w:pPr>
              <w:widowControl/>
              <w:jc w:val="center"/>
              <w:rPr>
                <w:rFonts w:ascii="宋体" w:hAnsi="宋体" w:cs="宋体"/>
                <w:sz w:val="24"/>
                <w:szCs w:val="24"/>
              </w:rPr>
            </w:pPr>
            <w:r>
              <w:rPr>
                <w:rFonts w:hint="eastAsia" w:ascii="宋体" w:hAnsi="宋体" w:cs="宋体"/>
                <w:sz w:val="24"/>
                <w:szCs w:val="24"/>
              </w:rPr>
              <w:t>食品安全</w:t>
            </w:r>
          </w:p>
          <w:p>
            <w:pPr>
              <w:widowControl/>
              <w:jc w:val="center"/>
              <w:rPr>
                <w:rFonts w:ascii="宋体" w:hAnsi="宋体" w:cs="宋体"/>
                <w:sz w:val="24"/>
                <w:szCs w:val="24"/>
              </w:rPr>
            </w:pPr>
            <w:r>
              <w:rPr>
                <w:rFonts w:hint="eastAsia" w:ascii="宋体" w:hAnsi="宋体" w:cs="宋体"/>
                <w:sz w:val="24"/>
                <w:szCs w:val="24"/>
              </w:rPr>
              <w:t>控制</w:t>
            </w:r>
          </w:p>
        </w:tc>
        <w:tc>
          <w:tcPr>
            <w:tcW w:w="6525" w:type="dxa"/>
            <w:vAlign w:val="center"/>
          </w:tcPr>
          <w:p>
            <w:pPr>
              <w:ind w:firstLine="480" w:firstLineChars="200"/>
              <w:jc w:val="left"/>
              <w:rPr>
                <w:rFonts w:ascii="宋体" w:hAnsi="宋体" w:cs="宋体"/>
                <w:sz w:val="24"/>
                <w:szCs w:val="24"/>
              </w:rPr>
            </w:pPr>
            <w:r>
              <w:rPr>
                <w:rFonts w:hint="eastAsia" w:ascii="宋体" w:hAnsi="宋体" w:cs="宋体"/>
                <w:sz w:val="24"/>
                <w:szCs w:val="24"/>
              </w:rPr>
              <w:t>1、采购、储存、加工、销售全过程的规范化管理措施，措施合理的得2分，不合理的得0分。</w:t>
            </w:r>
          </w:p>
          <w:p>
            <w:pPr>
              <w:ind w:firstLine="480" w:firstLineChars="200"/>
              <w:jc w:val="left"/>
              <w:rPr>
                <w:rFonts w:ascii="宋体" w:hAnsi="宋体" w:cs="宋体"/>
                <w:sz w:val="24"/>
                <w:szCs w:val="24"/>
              </w:rPr>
            </w:pPr>
            <w:r>
              <w:rPr>
                <w:rFonts w:hint="eastAsia" w:ascii="宋体" w:hAnsi="宋体" w:cs="宋体"/>
                <w:sz w:val="24"/>
                <w:szCs w:val="24"/>
              </w:rPr>
              <w:t>2、食品卫生安全的预防及自查、自纠措施，有且合理的得2分，不合理得0分。</w:t>
            </w:r>
          </w:p>
          <w:p>
            <w:pPr>
              <w:ind w:firstLine="480" w:firstLineChars="200"/>
              <w:jc w:val="left"/>
              <w:rPr>
                <w:rFonts w:ascii="宋体" w:hAnsi="宋体" w:cs="宋体"/>
                <w:sz w:val="24"/>
                <w:szCs w:val="24"/>
              </w:rPr>
            </w:pPr>
            <w:r>
              <w:rPr>
                <w:rFonts w:hint="eastAsia" w:ascii="宋体" w:hAnsi="宋体" w:cs="宋体"/>
                <w:sz w:val="24"/>
                <w:szCs w:val="24"/>
              </w:rPr>
              <w:t>3、食品卫生知识的宣传教育，有安排且合理的得2分，无或不合理的得0分。</w:t>
            </w:r>
          </w:p>
          <w:p>
            <w:pPr>
              <w:ind w:firstLine="480" w:firstLineChars="200"/>
              <w:jc w:val="left"/>
              <w:rPr>
                <w:rFonts w:ascii="宋体" w:hAnsi="宋体" w:cs="宋体"/>
                <w:sz w:val="24"/>
                <w:szCs w:val="24"/>
              </w:rPr>
            </w:pPr>
            <w:r>
              <w:rPr>
                <w:rFonts w:hint="eastAsia" w:ascii="宋体" w:hAnsi="宋体" w:cs="宋体"/>
                <w:sz w:val="24"/>
                <w:szCs w:val="24"/>
              </w:rPr>
              <w:t>4、有食物中毒应急预案的得2分，没有得0分。</w:t>
            </w:r>
          </w:p>
        </w:tc>
        <w:tc>
          <w:tcPr>
            <w:tcW w:w="1063" w:type="dxa"/>
            <w:vAlign w:val="center"/>
          </w:tcPr>
          <w:p>
            <w:pPr>
              <w:jc w:val="center"/>
              <w:rPr>
                <w:rFonts w:ascii="宋体" w:hAnsi="宋体" w:cs="宋体"/>
                <w:sz w:val="24"/>
                <w:szCs w:val="24"/>
              </w:rPr>
            </w:pPr>
            <w:r>
              <w:rPr>
                <w:rFonts w:hint="eastAsia" w:ascii="宋体" w:hAnsi="宋体" w:cs="宋体"/>
                <w:sz w:val="24"/>
                <w:szCs w:val="24"/>
              </w:rPr>
              <w:t>0-8分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66" w:hRule="atLeast"/>
          <w:jc w:val="center"/>
        </w:trPr>
        <w:tc>
          <w:tcPr>
            <w:tcW w:w="1119" w:type="dxa"/>
            <w:vMerge w:val="continue"/>
            <w:vAlign w:val="center"/>
          </w:tcPr>
          <w:p>
            <w:pPr>
              <w:jc w:val="center"/>
              <w:rPr>
                <w:rFonts w:ascii="宋体" w:hAnsi="宋体" w:cs="宋体"/>
                <w:sz w:val="24"/>
                <w:szCs w:val="24"/>
              </w:rPr>
            </w:pPr>
          </w:p>
        </w:tc>
        <w:tc>
          <w:tcPr>
            <w:tcW w:w="1207" w:type="dxa"/>
            <w:vAlign w:val="center"/>
          </w:tcPr>
          <w:p>
            <w:pPr>
              <w:widowControl/>
              <w:jc w:val="center"/>
              <w:rPr>
                <w:rFonts w:ascii="宋体" w:hAnsi="宋体" w:cs="宋体"/>
                <w:sz w:val="24"/>
                <w:szCs w:val="24"/>
              </w:rPr>
            </w:pPr>
            <w:r>
              <w:rPr>
                <w:rFonts w:hint="eastAsia" w:ascii="宋体" w:hAnsi="宋体" w:cs="宋体"/>
                <w:sz w:val="24"/>
                <w:szCs w:val="24"/>
              </w:rPr>
              <w:t>有关承诺</w:t>
            </w:r>
          </w:p>
        </w:tc>
        <w:tc>
          <w:tcPr>
            <w:tcW w:w="6525" w:type="dxa"/>
            <w:vAlign w:val="center"/>
          </w:tcPr>
          <w:p>
            <w:pPr>
              <w:widowControl/>
              <w:ind w:firstLine="480" w:firstLineChars="200"/>
              <w:jc w:val="left"/>
              <w:rPr>
                <w:rFonts w:ascii="宋体" w:hAnsi="宋体" w:cs="宋体"/>
                <w:sz w:val="24"/>
                <w:szCs w:val="24"/>
              </w:rPr>
            </w:pPr>
            <w:r>
              <w:rPr>
                <w:rFonts w:hint="eastAsia" w:ascii="宋体" w:hAnsi="宋体" w:cs="宋体"/>
                <w:sz w:val="24"/>
                <w:szCs w:val="24"/>
              </w:rPr>
              <w:t>1、投标供应商自行拟定书面承诺，主要包括以下方面：①自愿接受校方管理、因自身原因导致不良影响（如出现食物中毒事件等等）自愿进行何种处罚的承诺；②自愿承担因自身原因导致的经济及法律责任；③自愿承担经营风险的承诺；④自愿提供免费汤等优惠措施承诺。</w:t>
            </w:r>
          </w:p>
          <w:p>
            <w:pPr>
              <w:widowControl/>
              <w:ind w:firstLine="480" w:firstLineChars="200"/>
              <w:jc w:val="left"/>
              <w:rPr>
                <w:rFonts w:ascii="宋体" w:hAnsi="宋体" w:cs="宋体"/>
                <w:sz w:val="24"/>
                <w:szCs w:val="24"/>
              </w:rPr>
            </w:pPr>
            <w:r>
              <w:rPr>
                <w:rFonts w:hint="eastAsia" w:ascii="宋体" w:hAnsi="宋体" w:cs="宋体"/>
                <w:sz w:val="24"/>
                <w:szCs w:val="24"/>
              </w:rPr>
              <w:t>备注：评委根据投标供应商作出的书面承诺，有且合理的每项得1分，没有或不合理的不得分，本小项最高得4分。</w:t>
            </w:r>
          </w:p>
          <w:p>
            <w:pPr>
              <w:widowControl/>
              <w:spacing w:beforeLines="50"/>
              <w:ind w:firstLine="480" w:firstLineChars="200"/>
              <w:jc w:val="left"/>
              <w:rPr>
                <w:rFonts w:ascii="宋体" w:hAnsi="宋体" w:cs="宋体"/>
                <w:sz w:val="24"/>
                <w:szCs w:val="24"/>
              </w:rPr>
            </w:pPr>
            <w:r>
              <w:rPr>
                <w:rFonts w:hint="eastAsia" w:ascii="宋体" w:hAnsi="宋体" w:cs="宋体"/>
                <w:color w:val="1515C4"/>
                <w:sz w:val="24"/>
                <w:szCs w:val="24"/>
              </w:rPr>
              <w:t>2、投标供应商自行拟定书面承诺，自愿承诺经营期内针对所经营的食堂进行改造且投入资金不少于人民币30万元。有此项承诺得5分，没有则不得分。</w:t>
            </w:r>
          </w:p>
          <w:p>
            <w:pPr>
              <w:widowControl/>
              <w:ind w:firstLine="480" w:firstLineChars="200"/>
              <w:jc w:val="left"/>
              <w:rPr>
                <w:rFonts w:ascii="宋体" w:hAnsi="宋体" w:cs="宋体"/>
                <w:sz w:val="24"/>
                <w:szCs w:val="24"/>
              </w:rPr>
            </w:pPr>
            <w:r>
              <w:rPr>
                <w:rFonts w:hint="eastAsia" w:ascii="宋体" w:hAnsi="宋体" w:cs="宋体"/>
                <w:color w:val="1515C4"/>
                <w:sz w:val="24"/>
                <w:szCs w:val="24"/>
              </w:rPr>
              <w:t>备注：如中标供应商作出上述承诺，在合同签订时须向采购人提供详细改造方案及预算书，且改造方案总投资须达到人民币30万元以上，否则采购人有权取消其中标资格。</w:t>
            </w:r>
          </w:p>
        </w:tc>
        <w:tc>
          <w:tcPr>
            <w:tcW w:w="1063" w:type="dxa"/>
            <w:vAlign w:val="center"/>
          </w:tcPr>
          <w:p>
            <w:pPr>
              <w:jc w:val="center"/>
              <w:rPr>
                <w:rFonts w:ascii="宋体" w:hAnsi="宋体" w:cs="宋体"/>
                <w:sz w:val="24"/>
                <w:szCs w:val="24"/>
              </w:rPr>
            </w:pPr>
            <w:r>
              <w:rPr>
                <w:rFonts w:hint="eastAsia" w:ascii="宋体" w:hAnsi="宋体" w:cs="宋体"/>
                <w:sz w:val="24"/>
                <w:szCs w:val="24"/>
              </w:rPr>
              <w:t>0-9分</w:t>
            </w:r>
          </w:p>
        </w:tc>
      </w:tr>
    </w:tbl>
    <w:p>
      <w:pPr>
        <w:pStyle w:val="27"/>
        <w:spacing w:line="0" w:lineRule="atLeast"/>
        <w:ind w:right="-11" w:firstLine="495"/>
        <w:rPr>
          <w:rFonts w:ascii="Arial" w:hAnsi="Arial" w:eastAsia="宋体" w:cs="Arial"/>
          <w:sz w:val="24"/>
        </w:rPr>
      </w:pPr>
      <w:r>
        <w:rPr>
          <w:rFonts w:hint="eastAsia" w:ascii="Arial" w:hAnsi="Arial" w:eastAsia="宋体" w:cs="Arial"/>
          <w:sz w:val="24"/>
        </w:rPr>
        <w:t>附则：</w:t>
      </w:r>
    </w:p>
    <w:p>
      <w:pPr>
        <w:pStyle w:val="27"/>
        <w:spacing w:line="0" w:lineRule="atLeast"/>
        <w:ind w:right="-11" w:firstLine="495"/>
        <w:rPr>
          <w:rFonts w:ascii="Arial" w:hAnsi="Arial" w:eastAsia="宋体" w:cs="Arial"/>
          <w:sz w:val="24"/>
        </w:rPr>
      </w:pPr>
      <w:r>
        <w:rPr>
          <w:rFonts w:hint="eastAsia" w:ascii="Arial" w:hAnsi="Arial" w:eastAsia="宋体" w:cs="Arial"/>
          <w:sz w:val="24"/>
        </w:rPr>
        <w:t>（1）评委独立评分，将所有评委的总评分，进行算术平均，得出该供应商的得分（保留两位</w:t>
      </w:r>
      <w:r>
        <w:rPr>
          <w:rFonts w:ascii="Arial" w:hAnsi="Arial" w:eastAsia="宋体" w:cs="Arial"/>
          <w:sz w:val="24"/>
        </w:rPr>
        <w:t>小数</w:t>
      </w:r>
      <w:r>
        <w:rPr>
          <w:rFonts w:hint="eastAsia" w:ascii="Arial" w:hAnsi="Arial" w:eastAsia="宋体" w:cs="Arial"/>
          <w:sz w:val="24"/>
        </w:rPr>
        <w:t>）。</w:t>
      </w:r>
    </w:p>
    <w:p>
      <w:pPr>
        <w:pStyle w:val="27"/>
        <w:spacing w:line="0" w:lineRule="atLeast"/>
        <w:ind w:right="-11" w:firstLine="495"/>
        <w:rPr>
          <w:rFonts w:ascii="Arial" w:hAnsi="Arial" w:eastAsia="宋体" w:cs="Arial"/>
          <w:sz w:val="24"/>
        </w:rPr>
      </w:pPr>
      <w:r>
        <w:rPr>
          <w:rFonts w:ascii="Arial" w:hAnsi="Arial" w:eastAsia="宋体" w:cs="Arial"/>
          <w:sz w:val="24"/>
        </w:rPr>
        <w:t>（</w:t>
      </w:r>
      <w:r>
        <w:rPr>
          <w:rFonts w:hint="eastAsia" w:ascii="Arial" w:hAnsi="Arial" w:eastAsia="宋体" w:cs="Arial"/>
          <w:sz w:val="24"/>
        </w:rPr>
        <w:t>2</w:t>
      </w:r>
      <w:r>
        <w:rPr>
          <w:rFonts w:ascii="Arial" w:hAnsi="Arial" w:eastAsia="宋体" w:cs="Arial"/>
          <w:sz w:val="24"/>
        </w:rPr>
        <w:t>）</w:t>
      </w:r>
      <w:r>
        <w:rPr>
          <w:rFonts w:hint="eastAsia" w:ascii="Arial" w:hAnsi="Arial" w:eastAsia="宋体" w:cs="Arial"/>
          <w:sz w:val="24"/>
        </w:rPr>
        <w:t>对供应商所提供的业绩、获奖、证明材料，若发现有弄虚作假行为，一律取消其中标资格，并上报行政主管部门给予处罚。</w:t>
      </w:r>
    </w:p>
    <w:p>
      <w:pPr>
        <w:pStyle w:val="27"/>
        <w:spacing w:line="0" w:lineRule="atLeast"/>
        <w:ind w:right="-11" w:firstLine="495"/>
        <w:rPr>
          <w:rFonts w:ascii="Arial" w:hAnsi="Arial" w:eastAsia="宋体" w:cs="Arial"/>
          <w:sz w:val="24"/>
        </w:rPr>
      </w:pPr>
      <w:r>
        <w:rPr>
          <w:rFonts w:hint="eastAsia" w:ascii="Arial" w:hAnsi="Arial" w:eastAsia="宋体" w:cs="Arial"/>
          <w:sz w:val="24"/>
        </w:rPr>
        <w:t>（3）投标文件中须附获奖证书、合同及其他证明材料的复印件，获奖时间以获奖证书发证时间为准。</w:t>
      </w:r>
    </w:p>
    <w:p>
      <w:pPr>
        <w:pStyle w:val="27"/>
        <w:spacing w:line="0" w:lineRule="atLeast"/>
        <w:ind w:right="-11" w:firstLine="495"/>
        <w:rPr>
          <w:rFonts w:ascii="Arial" w:hAnsi="Arial" w:eastAsia="宋体" w:cs="Arial"/>
          <w:sz w:val="24"/>
        </w:rPr>
      </w:pPr>
      <w:r>
        <w:rPr>
          <w:rFonts w:hint="eastAsia" w:ascii="Arial" w:hAnsi="Arial" w:eastAsia="宋体" w:cs="Arial"/>
          <w:sz w:val="24"/>
        </w:rPr>
        <w:t>（4）在投标文件的审查、澄清、评价和比较以及授予合同过程中，供应商对采购人和评标委员会施加影响的任何行为，都将导致取消其中标资格。</w:t>
      </w:r>
    </w:p>
    <w:p>
      <w:pPr>
        <w:adjustRightInd w:val="0"/>
        <w:snapToGrid w:val="0"/>
        <w:spacing w:line="0" w:lineRule="atLeast"/>
        <w:ind w:right="-11" w:firstLine="482" w:firstLineChars="200"/>
        <w:rPr>
          <w:rFonts w:ascii="Arial" w:hAnsi="Arial" w:cs="Arial"/>
          <w:b/>
          <w:sz w:val="24"/>
        </w:rPr>
      </w:pPr>
      <w:r>
        <w:rPr>
          <w:rFonts w:ascii="Arial" w:hAnsi="Arial" w:cs="Arial"/>
          <w:b/>
          <w:sz w:val="24"/>
        </w:rPr>
        <w:t>第九条</w:t>
      </w:r>
      <w:r>
        <w:rPr>
          <w:rFonts w:ascii="Arial" w:hAnsi="Arial" w:cs="Arial"/>
          <w:sz w:val="24"/>
        </w:rPr>
        <w:t>各</w:t>
      </w:r>
      <w:r>
        <w:rPr>
          <w:rFonts w:hint="eastAsia" w:ascii="Arial" w:hAnsi="Arial" w:cs="Arial"/>
          <w:sz w:val="24"/>
        </w:rPr>
        <w:t>供应商</w:t>
      </w:r>
      <w:r>
        <w:rPr>
          <w:rFonts w:ascii="Arial" w:hAnsi="Arial" w:cs="Arial"/>
          <w:sz w:val="24"/>
        </w:rPr>
        <w:t>的得分分值一经得出，并核对无误后，任何人不得更改。</w:t>
      </w:r>
    </w:p>
    <w:p>
      <w:pPr>
        <w:pStyle w:val="27"/>
        <w:spacing w:line="0" w:lineRule="atLeast"/>
        <w:ind w:right="-11" w:firstLine="495"/>
        <w:rPr>
          <w:rFonts w:ascii="Arial" w:hAnsi="Arial" w:eastAsia="宋体" w:cs="Arial"/>
          <w:sz w:val="24"/>
        </w:rPr>
      </w:pPr>
      <w:r>
        <w:rPr>
          <w:rFonts w:ascii="Arial" w:hAnsi="Arial" w:eastAsia="宋体" w:cs="Arial"/>
          <w:b/>
          <w:sz w:val="24"/>
        </w:rPr>
        <w:t>第十条</w:t>
      </w:r>
      <w:r>
        <w:rPr>
          <w:rFonts w:ascii="Arial" w:hAnsi="Arial" w:eastAsia="宋体" w:cs="Arial"/>
          <w:sz w:val="24"/>
        </w:rPr>
        <w:t>如果综合总得分出现两家或两家以上相同者，则采取</w:t>
      </w:r>
      <w:r>
        <w:rPr>
          <w:rFonts w:hint="eastAsia" w:ascii="Arial" w:hAnsi="Arial" w:eastAsia="宋体" w:cs="Arial"/>
          <w:sz w:val="24"/>
        </w:rPr>
        <w:t>评委会组长</w:t>
      </w:r>
      <w:r>
        <w:rPr>
          <w:rFonts w:ascii="Arial" w:hAnsi="Arial" w:eastAsia="宋体" w:cs="Arial"/>
          <w:sz w:val="24"/>
        </w:rPr>
        <w:t>抽签方式确定中标候选顺序。</w:t>
      </w:r>
    </w:p>
    <w:p>
      <w:pPr>
        <w:adjustRightInd w:val="0"/>
        <w:snapToGrid w:val="0"/>
        <w:spacing w:line="0" w:lineRule="atLeast"/>
        <w:ind w:right="-11" w:firstLine="482" w:firstLineChars="200"/>
        <w:rPr>
          <w:rFonts w:ascii="Arial" w:hAnsi="Arial" w:cs="Arial"/>
          <w:b/>
          <w:sz w:val="24"/>
        </w:rPr>
      </w:pPr>
      <w:r>
        <w:rPr>
          <w:rFonts w:ascii="Arial" w:hAnsi="Arial" w:cs="Arial"/>
          <w:b/>
          <w:sz w:val="24"/>
        </w:rPr>
        <w:t>第</w:t>
      </w:r>
      <w:r>
        <w:rPr>
          <w:rFonts w:ascii="Arial" w:hAnsi="Arial" w:cs="Arial"/>
          <w:b/>
          <w:bCs/>
          <w:sz w:val="24"/>
        </w:rPr>
        <w:t>十</w:t>
      </w:r>
      <w:r>
        <w:rPr>
          <w:rFonts w:ascii="Arial" w:hAnsi="Arial" w:cs="Arial"/>
          <w:b/>
          <w:sz w:val="24"/>
        </w:rPr>
        <w:t>一条</w:t>
      </w:r>
      <w:r>
        <w:rPr>
          <w:rFonts w:ascii="Arial" w:hAnsi="Arial" w:cs="Arial"/>
          <w:sz w:val="24"/>
        </w:rPr>
        <w:t>评标委员会在评标过程中发现的问题，应当区别情形及时作出处理或者向</w:t>
      </w:r>
      <w:r>
        <w:rPr>
          <w:rFonts w:hint="eastAsia" w:ascii="Arial" w:hAnsi="Arial" w:cs="Arial"/>
          <w:sz w:val="24"/>
        </w:rPr>
        <w:t>采购人</w:t>
      </w:r>
      <w:r>
        <w:rPr>
          <w:rFonts w:ascii="Arial" w:hAnsi="Arial" w:cs="Arial"/>
          <w:sz w:val="24"/>
        </w:rPr>
        <w:t>提出处理建议，并作书面记录。</w:t>
      </w:r>
    </w:p>
    <w:p>
      <w:pPr>
        <w:adjustRightInd w:val="0"/>
        <w:snapToGrid w:val="0"/>
        <w:spacing w:line="0" w:lineRule="atLeast"/>
        <w:ind w:right="-11" w:firstLine="482" w:firstLineChars="200"/>
        <w:rPr>
          <w:rFonts w:ascii="Arial" w:hAnsi="Arial" w:cs="Arial"/>
          <w:sz w:val="24"/>
        </w:rPr>
      </w:pPr>
      <w:r>
        <w:rPr>
          <w:rFonts w:ascii="Arial" w:hAnsi="Arial" w:cs="Arial"/>
          <w:b/>
          <w:sz w:val="24"/>
        </w:rPr>
        <w:t>第</w:t>
      </w:r>
      <w:r>
        <w:rPr>
          <w:rFonts w:ascii="Arial" w:hAnsi="Arial" w:cs="Arial"/>
          <w:b/>
          <w:bCs/>
          <w:sz w:val="24"/>
        </w:rPr>
        <w:t>十二</w:t>
      </w:r>
      <w:r>
        <w:rPr>
          <w:rFonts w:ascii="Arial" w:hAnsi="Arial" w:cs="Arial"/>
          <w:b/>
          <w:sz w:val="24"/>
        </w:rPr>
        <w:t>条</w:t>
      </w:r>
      <w:r>
        <w:rPr>
          <w:rFonts w:ascii="Arial" w:hAnsi="Arial" w:cs="Arial"/>
          <w:sz w:val="24"/>
        </w:rPr>
        <w:t>在评审过程中，</w:t>
      </w:r>
      <w:r>
        <w:rPr>
          <w:rFonts w:hint="eastAsia" w:ascii="Arial" w:hAnsi="Arial" w:cs="Arial"/>
          <w:sz w:val="24"/>
        </w:rPr>
        <w:t>评标委员会认为供应商的报价明显低于其他通过资格性</w:t>
      </w:r>
      <w:r>
        <w:rPr>
          <w:rFonts w:ascii="Arial" w:hAnsi="Arial" w:cs="Arial"/>
          <w:sz w:val="24"/>
        </w:rPr>
        <w:t>和</w:t>
      </w:r>
      <w:r>
        <w:rPr>
          <w:rFonts w:hint="eastAsia" w:ascii="Arial" w:hAnsi="Arial" w:cs="Arial"/>
          <w:sz w:val="24"/>
        </w:rPr>
        <w:t>符合性审查供应商的报价，有可能影响产品质量或者不能诚信履约的，应当要求其在评标现场合理的时间内提供书面说明，必要时提交相关证明材料；供应商不能证明其报价合理性的，评标委员会应当将其作为无效投标处理</w:t>
      </w:r>
      <w:r>
        <w:rPr>
          <w:rFonts w:ascii="Arial" w:hAnsi="Arial" w:cs="Arial"/>
          <w:sz w:val="24"/>
        </w:rPr>
        <w:t>。</w:t>
      </w:r>
    </w:p>
    <w:p>
      <w:pPr>
        <w:adjustRightInd w:val="0"/>
        <w:snapToGrid w:val="0"/>
        <w:spacing w:line="0" w:lineRule="atLeast"/>
        <w:ind w:right="-10" w:firstLine="482" w:firstLineChars="200"/>
        <w:rPr>
          <w:rFonts w:ascii="Arial" w:hAnsi="Arial" w:cs="Arial"/>
          <w:sz w:val="24"/>
        </w:rPr>
      </w:pPr>
      <w:r>
        <w:rPr>
          <w:rFonts w:ascii="Arial" w:hAnsi="Arial" w:cs="Arial"/>
          <w:b/>
          <w:bCs/>
          <w:sz w:val="24"/>
        </w:rPr>
        <w:t>第十</w:t>
      </w:r>
      <w:r>
        <w:rPr>
          <w:rFonts w:ascii="Arial" w:hAnsi="Arial" w:cs="Arial"/>
          <w:b/>
          <w:sz w:val="24"/>
        </w:rPr>
        <w:t>三</w:t>
      </w:r>
      <w:r>
        <w:rPr>
          <w:rFonts w:ascii="Arial" w:hAnsi="Arial" w:cs="Arial"/>
          <w:b/>
          <w:bCs/>
          <w:sz w:val="24"/>
        </w:rPr>
        <w:t>条</w:t>
      </w:r>
      <w:r>
        <w:rPr>
          <w:rFonts w:hint="eastAsia" w:ascii="Arial" w:hAnsi="Arial" w:cs="Arial"/>
          <w:sz w:val="24"/>
        </w:rPr>
        <w:t>供应商</w:t>
      </w:r>
      <w:r>
        <w:rPr>
          <w:rFonts w:ascii="Arial" w:hAnsi="Arial" w:cs="Arial"/>
          <w:sz w:val="24"/>
        </w:rPr>
        <w:t>有串通投标、弄虚作假、行贿等违法行为，评委会有权否决其投标。</w:t>
      </w:r>
    </w:p>
    <w:p>
      <w:pPr>
        <w:adjustRightInd w:val="0"/>
        <w:snapToGrid w:val="0"/>
        <w:spacing w:line="0" w:lineRule="atLeast"/>
        <w:ind w:right="-10" w:firstLine="482" w:firstLineChars="200"/>
        <w:rPr>
          <w:rFonts w:ascii="Arial" w:hAnsi="Arial" w:cs="Arial"/>
          <w:sz w:val="24"/>
        </w:rPr>
      </w:pPr>
      <w:r>
        <w:rPr>
          <w:rFonts w:ascii="Arial" w:hAnsi="Arial" w:cs="Arial"/>
          <w:b/>
          <w:bCs/>
          <w:sz w:val="24"/>
        </w:rPr>
        <w:t>第十四条</w:t>
      </w:r>
      <w:r>
        <w:rPr>
          <w:rFonts w:ascii="Arial" w:hAnsi="Arial" w:cs="Arial"/>
          <w:sz w:val="24"/>
        </w:rPr>
        <w:t>评标后，评标委员会应编写评审报告并签字。评审报告是评标委员会根据全体评标成员签字的原始评标记录和评标结果编写的报告，评标委员会全体成员及监督员均须在评审报告上签字。评审报告应如实记录本次评标的主要过程，全面反映评标过程中的各种不同的意见，以及其他澄清、说明、补正事项。</w:t>
      </w:r>
    </w:p>
    <w:p>
      <w:pPr>
        <w:adjustRightInd w:val="0"/>
        <w:snapToGrid w:val="0"/>
        <w:spacing w:line="0" w:lineRule="atLeast"/>
        <w:ind w:right="-11" w:firstLine="482" w:firstLineChars="200"/>
        <w:rPr>
          <w:rFonts w:ascii="Arial" w:hAnsi="Arial" w:cs="Arial"/>
          <w:sz w:val="24"/>
        </w:rPr>
      </w:pPr>
      <w:r>
        <w:rPr>
          <w:rFonts w:ascii="Arial" w:hAnsi="Arial" w:cs="Arial"/>
          <w:b/>
          <w:sz w:val="24"/>
        </w:rPr>
        <w:t>第十</w:t>
      </w:r>
      <w:r>
        <w:rPr>
          <w:rFonts w:ascii="Arial" w:hAnsi="Arial" w:cs="Arial"/>
          <w:b/>
          <w:bCs/>
          <w:sz w:val="24"/>
        </w:rPr>
        <w:t>五</w:t>
      </w:r>
      <w:r>
        <w:rPr>
          <w:rFonts w:ascii="Arial" w:hAnsi="Arial" w:cs="Arial"/>
          <w:b/>
          <w:sz w:val="24"/>
        </w:rPr>
        <w:t>条</w:t>
      </w:r>
      <w:r>
        <w:rPr>
          <w:rFonts w:ascii="Arial" w:hAnsi="Arial" w:cs="Arial"/>
          <w:sz w:val="24"/>
        </w:rPr>
        <w:t>评标委员会成员应当在评审报告上签字，对自己的评审意见承担法律责任。对评审报告有异议的，应当在评审报告上签署不同意见，并说明理由，否则视为同意评审报告。</w:t>
      </w:r>
    </w:p>
    <w:p>
      <w:pPr>
        <w:adjustRightInd w:val="0"/>
        <w:snapToGrid w:val="0"/>
        <w:spacing w:line="0" w:lineRule="atLeast"/>
        <w:ind w:right="-11"/>
        <w:jc w:val="center"/>
        <w:rPr>
          <w:rFonts w:ascii="Arial" w:hAnsi="Arial" w:cs="Arial"/>
          <w:sz w:val="24"/>
        </w:rPr>
      </w:pPr>
      <w:r>
        <w:rPr>
          <w:rFonts w:ascii="Arial" w:hAnsi="Arial" w:cs="Arial"/>
          <w:b/>
          <w:sz w:val="24"/>
        </w:rPr>
        <w:t>三．评标纪律</w:t>
      </w:r>
    </w:p>
    <w:p>
      <w:pPr>
        <w:adjustRightInd w:val="0"/>
        <w:snapToGrid w:val="0"/>
        <w:spacing w:line="0" w:lineRule="atLeast"/>
        <w:ind w:right="-11" w:firstLine="482" w:firstLineChars="200"/>
        <w:rPr>
          <w:rFonts w:ascii="Arial" w:hAnsi="Arial" w:cs="Arial"/>
          <w:sz w:val="24"/>
        </w:rPr>
      </w:pPr>
      <w:r>
        <w:rPr>
          <w:rFonts w:ascii="Arial" w:hAnsi="Arial" w:cs="Arial"/>
          <w:b/>
          <w:sz w:val="24"/>
        </w:rPr>
        <w:t>第十六条</w:t>
      </w:r>
      <w:r>
        <w:rPr>
          <w:rFonts w:ascii="Arial" w:hAnsi="Arial" w:cs="Arial"/>
          <w:sz w:val="24"/>
        </w:rPr>
        <w:t>评标委员会和评标工作人员应严格遵守国家的法律、法规和规章制度；严格按照本次招标文件进行评标；公正廉洁、不徇私情，不得损害国家利益；保护</w:t>
      </w:r>
      <w:r>
        <w:rPr>
          <w:rFonts w:hint="eastAsia" w:ascii="Arial" w:hAnsi="Arial" w:cs="Arial"/>
          <w:sz w:val="24"/>
        </w:rPr>
        <w:t>采购人</w:t>
      </w:r>
      <w:r>
        <w:rPr>
          <w:rFonts w:ascii="Arial" w:hAnsi="Arial" w:cs="Arial"/>
          <w:sz w:val="24"/>
        </w:rPr>
        <w:t>、</w:t>
      </w:r>
      <w:r>
        <w:rPr>
          <w:rFonts w:hint="eastAsia" w:ascii="Arial" w:hAnsi="Arial" w:cs="Arial"/>
          <w:sz w:val="24"/>
        </w:rPr>
        <w:t>供应商</w:t>
      </w:r>
      <w:r>
        <w:rPr>
          <w:rFonts w:ascii="Arial" w:hAnsi="Arial" w:cs="Arial"/>
          <w:sz w:val="24"/>
        </w:rPr>
        <w:t>的合法权益。</w:t>
      </w:r>
    </w:p>
    <w:p>
      <w:pPr>
        <w:adjustRightInd w:val="0"/>
        <w:snapToGrid w:val="0"/>
        <w:spacing w:line="0" w:lineRule="atLeast"/>
        <w:ind w:right="-11" w:firstLine="482" w:firstLineChars="200"/>
        <w:rPr>
          <w:rFonts w:ascii="Arial" w:hAnsi="Arial" w:cs="Arial"/>
          <w:bCs/>
          <w:sz w:val="24"/>
        </w:rPr>
      </w:pPr>
      <w:r>
        <w:rPr>
          <w:rFonts w:ascii="Arial" w:hAnsi="Arial" w:cs="Arial"/>
          <w:b/>
          <w:sz w:val="24"/>
        </w:rPr>
        <w:t>第十七条</w:t>
      </w:r>
      <w:r>
        <w:rPr>
          <w:rFonts w:ascii="Arial" w:hAnsi="Arial" w:cs="Arial"/>
          <w:sz w:val="24"/>
        </w:rPr>
        <w:t>在评标过程中，评委及其他评标工作人员必须对评标情况严格保密，任何人不得将评标情况透露给与</w:t>
      </w:r>
      <w:r>
        <w:rPr>
          <w:rFonts w:hint="eastAsia" w:ascii="Arial" w:hAnsi="Arial" w:cs="Arial"/>
          <w:sz w:val="24"/>
        </w:rPr>
        <w:t>供应商</w:t>
      </w:r>
      <w:r>
        <w:rPr>
          <w:rFonts w:ascii="Arial" w:hAnsi="Arial" w:cs="Arial"/>
          <w:sz w:val="24"/>
        </w:rPr>
        <w:t>有关的单位和个人。如有违反评标纪律的情况发生，将依据</w:t>
      </w:r>
      <w:r>
        <w:rPr>
          <w:rFonts w:hint="eastAsia" w:ascii="Arial" w:hAnsi="Arial" w:cs="Arial"/>
          <w:sz w:val="24"/>
        </w:rPr>
        <w:t>相关</w:t>
      </w:r>
      <w:r>
        <w:rPr>
          <w:rFonts w:ascii="Arial" w:hAnsi="Arial" w:cs="Arial"/>
          <w:sz w:val="24"/>
        </w:rPr>
        <w:t>法律法规的规定，追究有关当事人的责任。</w:t>
      </w:r>
    </w:p>
    <w:p>
      <w:pPr>
        <w:spacing w:line="0" w:lineRule="atLeast"/>
        <w:rPr>
          <w:rFonts w:ascii="Arial" w:hAnsi="Arial" w:cs="Arial"/>
          <w:bCs/>
          <w:sz w:val="24"/>
        </w:rPr>
      </w:pPr>
    </w:p>
    <w:p>
      <w:pPr>
        <w:spacing w:line="0" w:lineRule="atLeast"/>
        <w:ind w:firstLine="549"/>
        <w:rPr>
          <w:rFonts w:ascii="Arial" w:hAnsi="Arial" w:cs="Arial"/>
          <w:bCs/>
          <w:sz w:val="24"/>
        </w:rPr>
      </w:pPr>
      <w:r>
        <w:rPr>
          <w:rFonts w:ascii="Arial" w:hAnsi="Arial" w:cs="Arial"/>
          <w:bCs/>
          <w:sz w:val="24"/>
        </w:rPr>
        <w:br w:type="page"/>
      </w:r>
    </w:p>
    <w:p>
      <w:pPr>
        <w:pStyle w:val="3"/>
        <w:spacing w:line="0" w:lineRule="atLeast"/>
        <w:ind w:firstLine="0"/>
        <w:rPr>
          <w:rFonts w:eastAsia="宋体" w:cs="Arial"/>
        </w:rPr>
      </w:pPr>
      <w:bookmarkStart w:id="9" w:name="_Toc15417"/>
      <w:bookmarkStart w:id="10" w:name="_Toc220232392"/>
      <w:bookmarkStart w:id="11" w:name="_Toc220232390"/>
      <w:bookmarkStart w:id="12" w:name="_Toc418935907"/>
      <w:r>
        <w:rPr>
          <w:rFonts w:hint="eastAsia" w:eastAsia="宋体" w:cs="Arial"/>
        </w:rPr>
        <w:t>采购</w:t>
      </w:r>
      <w:r>
        <w:rPr>
          <w:rFonts w:eastAsia="宋体" w:cs="Arial"/>
        </w:rPr>
        <w:t>合同</w:t>
      </w:r>
      <w:bookmarkEnd w:id="9"/>
      <w:bookmarkEnd w:id="10"/>
    </w:p>
    <w:p>
      <w:pPr>
        <w:widowControl/>
        <w:spacing w:before="100" w:beforeAutospacing="1" w:after="100" w:afterAutospacing="1" w:line="0" w:lineRule="atLeast"/>
        <w:ind w:firstLine="480" w:firstLineChars="200"/>
        <w:jc w:val="left"/>
        <w:rPr>
          <w:rFonts w:ascii="宋体" w:hAnsi="宋体" w:cs="宋体"/>
          <w:kern w:val="0"/>
          <w:sz w:val="24"/>
          <w:szCs w:val="24"/>
        </w:rPr>
      </w:pPr>
      <w:bookmarkStart w:id="13" w:name="_Toc363638223"/>
    </w:p>
    <w:p>
      <w:pPr>
        <w:adjustRightInd w:val="0"/>
        <w:snapToGrid w:val="0"/>
        <w:spacing w:line="480" w:lineRule="exact"/>
        <w:jc w:val="center"/>
        <w:rPr>
          <w:rFonts w:ascii="宋体" w:hAnsi="宋体"/>
          <w:sz w:val="44"/>
          <w:szCs w:val="44"/>
        </w:rPr>
      </w:pPr>
    </w:p>
    <w:p>
      <w:pPr>
        <w:adjustRightInd w:val="0"/>
        <w:snapToGrid w:val="0"/>
        <w:spacing w:line="480" w:lineRule="exact"/>
        <w:jc w:val="center"/>
        <w:rPr>
          <w:rFonts w:ascii="宋体" w:hAnsi="宋体"/>
          <w:b/>
          <w:bCs/>
          <w:sz w:val="44"/>
          <w:szCs w:val="44"/>
        </w:rPr>
      </w:pPr>
      <w:r>
        <w:rPr>
          <w:rFonts w:hint="eastAsia" w:ascii="宋体" w:hAnsi="宋体"/>
          <w:b/>
          <w:bCs/>
          <w:sz w:val="44"/>
          <w:szCs w:val="44"/>
        </w:rPr>
        <w:t>池州学院学生食堂经营合同书</w:t>
      </w:r>
    </w:p>
    <w:p>
      <w:pPr>
        <w:pStyle w:val="33"/>
        <w:spacing w:line="500" w:lineRule="exact"/>
        <w:rPr>
          <w:rFonts w:ascii="仿宋_GB2312" w:eastAsia="仿宋_GB2312"/>
          <w:b/>
          <w:sz w:val="28"/>
        </w:rPr>
      </w:pPr>
    </w:p>
    <w:p>
      <w:pPr>
        <w:pStyle w:val="33"/>
        <w:spacing w:line="500" w:lineRule="exact"/>
        <w:rPr>
          <w:rFonts w:ascii="仿宋_GB2312" w:eastAsia="仿宋_GB2312"/>
          <w:b/>
          <w:sz w:val="28"/>
        </w:rPr>
      </w:pPr>
    </w:p>
    <w:p>
      <w:pPr>
        <w:pStyle w:val="33"/>
        <w:spacing w:line="500" w:lineRule="exact"/>
        <w:rPr>
          <w:rFonts w:ascii="仿宋_GB2312" w:eastAsia="仿宋_GB2312"/>
          <w:b/>
          <w:sz w:val="28"/>
        </w:rPr>
      </w:pPr>
    </w:p>
    <w:p>
      <w:pPr>
        <w:pStyle w:val="33"/>
        <w:spacing w:line="500" w:lineRule="exact"/>
        <w:rPr>
          <w:rFonts w:ascii="仿宋_GB2312" w:eastAsia="仿宋_GB2312"/>
          <w:b/>
          <w:sz w:val="28"/>
          <w:u w:val="single"/>
        </w:rPr>
      </w:pPr>
      <w:r>
        <w:rPr>
          <w:rFonts w:hint="eastAsia" w:ascii="仿宋_GB2312" w:eastAsia="仿宋_GB2312"/>
          <w:b/>
          <w:sz w:val="28"/>
        </w:rPr>
        <w:t>甲方(发包方)：</w:t>
      </w:r>
      <w:r>
        <w:rPr>
          <w:rFonts w:hint="eastAsia" w:ascii="仿宋_GB2312" w:eastAsia="仿宋_GB2312"/>
          <w:b/>
          <w:sz w:val="28"/>
          <w:u w:val="single"/>
        </w:rPr>
        <w:t>池州学院</w:t>
      </w:r>
    </w:p>
    <w:p>
      <w:pPr>
        <w:pStyle w:val="33"/>
        <w:spacing w:line="500" w:lineRule="exact"/>
        <w:rPr>
          <w:rFonts w:ascii="仿宋_GB2312" w:eastAsia="仿宋_GB2312"/>
          <w:b/>
          <w:sz w:val="28"/>
          <w:u w:val="single"/>
        </w:rPr>
      </w:pPr>
      <w:r>
        <w:rPr>
          <w:rFonts w:hint="eastAsia" w:ascii="仿宋_GB2312" w:eastAsia="仿宋_GB2312"/>
          <w:b/>
          <w:sz w:val="28"/>
        </w:rPr>
        <w:t>乙方(承包方)：</w:t>
      </w:r>
    </w:p>
    <w:p>
      <w:pPr>
        <w:pStyle w:val="33"/>
        <w:spacing w:before="240" w:after="120" w:line="500" w:lineRule="exact"/>
        <w:jc w:val="center"/>
        <w:rPr>
          <w:rFonts w:ascii="仿宋_GB2312" w:eastAsia="仿宋_GB2312"/>
          <w:sz w:val="28"/>
        </w:rPr>
      </w:pPr>
      <w:r>
        <w:rPr>
          <w:rFonts w:hint="eastAsia" w:ascii="黑体" w:eastAsia="黑体"/>
          <w:sz w:val="28"/>
        </w:rPr>
        <w:t>一、总   则</w:t>
      </w:r>
    </w:p>
    <w:p>
      <w:pPr>
        <w:adjustRightInd w:val="0"/>
        <w:snapToGrid w:val="0"/>
        <w:spacing w:line="500" w:lineRule="exact"/>
        <w:ind w:firstLine="560" w:firstLineChars="200"/>
        <w:rPr>
          <w:rFonts w:ascii="仿宋_GB2312" w:hAnsi="Arial" w:eastAsia="仿宋_GB2312"/>
          <w:sz w:val="28"/>
        </w:rPr>
      </w:pPr>
    </w:p>
    <w:p>
      <w:pPr>
        <w:numPr>
          <w:ilvl w:val="0"/>
          <w:numId w:val="4"/>
        </w:numPr>
        <w:adjustRightInd w:val="0"/>
        <w:snapToGrid w:val="0"/>
        <w:spacing w:line="500" w:lineRule="exact"/>
        <w:ind w:firstLine="560" w:firstLineChars="200"/>
        <w:rPr>
          <w:rFonts w:ascii="仿宋_GB2312" w:hAnsi="Arial" w:eastAsia="仿宋_GB2312"/>
          <w:sz w:val="28"/>
        </w:rPr>
      </w:pPr>
      <w:r>
        <w:rPr>
          <w:rFonts w:hint="eastAsia" w:ascii="仿宋_GB2312" w:hAnsi="Arial" w:eastAsia="仿宋_GB2312"/>
          <w:sz w:val="28"/>
        </w:rPr>
        <w:t xml:space="preserve"> 根据国家法律、法规及有关政策规定，遵循“平等互利、协商一致、等价有偿”的原则，通过公开竞标，乙方获甲方所属学生食堂的经营承包权。经双方协商订立本合同。</w:t>
      </w:r>
    </w:p>
    <w:p>
      <w:pPr>
        <w:numPr>
          <w:ilvl w:val="0"/>
          <w:numId w:val="4"/>
        </w:numPr>
        <w:adjustRightInd w:val="0"/>
        <w:snapToGrid w:val="0"/>
        <w:spacing w:line="500" w:lineRule="exact"/>
        <w:ind w:firstLine="560" w:firstLineChars="200"/>
        <w:rPr>
          <w:rFonts w:ascii="仿宋_GB2312" w:hAnsi="Arial" w:eastAsia="仿宋_GB2312"/>
          <w:sz w:val="28"/>
        </w:rPr>
      </w:pPr>
      <w:r>
        <w:rPr>
          <w:rFonts w:hint="eastAsia" w:ascii="仿宋_GB2312" w:hAnsi="Arial" w:eastAsia="仿宋_GB2312"/>
          <w:sz w:val="28"/>
        </w:rPr>
        <w:t>甲方委托（甲方的学生食堂管理部门）负责本合同实施中具体事宜的监督管理和协调服务。</w:t>
      </w:r>
    </w:p>
    <w:p>
      <w:pPr>
        <w:adjustRightInd w:val="0"/>
        <w:snapToGrid w:val="0"/>
        <w:spacing w:line="500" w:lineRule="exact"/>
        <w:ind w:firstLine="560" w:firstLineChars="200"/>
        <w:rPr>
          <w:rFonts w:ascii="仿宋_GB2312" w:hAnsi="Arial" w:eastAsia="仿宋_GB2312"/>
          <w:sz w:val="28"/>
        </w:rPr>
      </w:pPr>
      <w:r>
        <w:rPr>
          <w:rFonts w:hint="eastAsia" w:ascii="仿宋_GB2312" w:hAnsi="Arial" w:eastAsia="仿宋_GB2312"/>
          <w:sz w:val="28"/>
        </w:rPr>
        <w:t>第三条  乙方指派为食堂负责人，负责食堂的日常经营管理。乙方不得将食堂经营权和设备转包、出借给第三方，不得经营学生餐饮以外的业务,如舞厅、网吧等，不得擅自停业。</w:t>
      </w:r>
    </w:p>
    <w:p>
      <w:pPr>
        <w:spacing w:line="500" w:lineRule="exact"/>
        <w:ind w:firstLine="560" w:firstLineChars="200"/>
        <w:rPr>
          <w:rFonts w:ascii="仿宋_GB2312" w:hAnsi="宋体" w:eastAsia="仿宋_GB2312"/>
          <w:sz w:val="28"/>
        </w:rPr>
      </w:pPr>
      <w:r>
        <w:rPr>
          <w:rFonts w:hint="eastAsia" w:ascii="仿宋_GB2312" w:hAnsi="Arial" w:eastAsia="仿宋_GB2312"/>
          <w:sz w:val="28"/>
        </w:rPr>
        <w:t>第四条  乙方要树立</w:t>
      </w:r>
      <w:r>
        <w:rPr>
          <w:rFonts w:hint="eastAsia" w:ascii="仿宋_GB2312" w:hAnsi="宋体" w:eastAsia="仿宋_GB2312"/>
          <w:sz w:val="28"/>
        </w:rPr>
        <w:t>为师生提供优质餐饮服务的经营理念和良好的职业道德，充分认识高校餐饮所具有的公益性特点，</w:t>
      </w:r>
      <w:r>
        <w:rPr>
          <w:rFonts w:hint="eastAsia" w:ascii="仿宋_GB2312" w:hAnsi="Arial" w:eastAsia="仿宋_GB2312"/>
          <w:sz w:val="28"/>
        </w:rPr>
        <w:t>确保饮食质量和食品卫生安全，切实履行竞标承诺，为学校的稳定和发展做出贡献。</w:t>
      </w:r>
    </w:p>
    <w:p>
      <w:pPr>
        <w:adjustRightInd w:val="0"/>
        <w:snapToGrid w:val="0"/>
        <w:spacing w:line="500" w:lineRule="exact"/>
        <w:rPr>
          <w:rFonts w:ascii="仿宋_GB2312" w:hAnsi="Arial" w:eastAsia="仿宋_GB2312"/>
          <w:sz w:val="28"/>
        </w:rPr>
      </w:pPr>
    </w:p>
    <w:p>
      <w:pPr>
        <w:adjustRightInd w:val="0"/>
        <w:snapToGrid w:val="0"/>
        <w:spacing w:line="500" w:lineRule="exact"/>
        <w:jc w:val="center"/>
        <w:rPr>
          <w:rFonts w:ascii="黑体" w:hAnsi="Arial" w:eastAsia="黑体"/>
          <w:sz w:val="28"/>
        </w:rPr>
      </w:pPr>
      <w:r>
        <w:rPr>
          <w:rFonts w:hint="eastAsia" w:ascii="黑体" w:hAnsi="Arial" w:eastAsia="黑体"/>
          <w:sz w:val="28"/>
        </w:rPr>
        <w:t>二、经营标的及合同履约保证金</w:t>
      </w:r>
    </w:p>
    <w:p>
      <w:pPr>
        <w:adjustRightInd w:val="0"/>
        <w:snapToGrid w:val="0"/>
        <w:spacing w:line="500" w:lineRule="exact"/>
        <w:rPr>
          <w:rFonts w:ascii="仿宋_GB2312" w:hAnsi="Arial" w:eastAsia="仿宋_GB2312"/>
          <w:sz w:val="28"/>
        </w:rPr>
      </w:pPr>
    </w:p>
    <w:p>
      <w:pPr>
        <w:wordWrap w:val="0"/>
        <w:topLinePunct/>
        <w:adjustRightInd w:val="0"/>
        <w:snapToGrid w:val="0"/>
        <w:spacing w:line="500" w:lineRule="exact"/>
        <w:rPr>
          <w:rFonts w:ascii="仿宋_GB2312" w:hAnsi="Arial" w:eastAsia="仿宋_GB2312"/>
          <w:sz w:val="28"/>
          <w:u w:val="single"/>
        </w:rPr>
      </w:pPr>
      <w:r>
        <w:rPr>
          <w:rFonts w:hint="eastAsia" w:ascii="仿宋_GB2312" w:hAnsi="Arial" w:eastAsia="仿宋_GB2312"/>
          <w:sz w:val="28"/>
        </w:rPr>
        <w:t xml:space="preserve">    第五条  甲方所属第</w:t>
      </w:r>
      <w:r>
        <w:rPr>
          <w:rFonts w:hint="eastAsia" w:ascii="仿宋_GB2312" w:hAnsi="Arial" w:eastAsia="仿宋_GB2312"/>
          <w:sz w:val="28"/>
          <w:u w:val="single"/>
        </w:rPr>
        <w:t>　　　　</w:t>
      </w:r>
      <w:r>
        <w:rPr>
          <w:rFonts w:hint="eastAsia" w:ascii="仿宋_GB2312" w:hAnsi="Arial" w:eastAsia="仿宋_GB2312"/>
          <w:sz w:val="28"/>
        </w:rPr>
        <w:t>学生食堂位于</w:t>
      </w:r>
      <w:r>
        <w:rPr>
          <w:rFonts w:hint="eastAsia" w:ascii="仿宋_GB2312" w:hAnsi="Arial" w:eastAsia="仿宋_GB2312"/>
          <w:sz w:val="28"/>
          <w:u w:val="single"/>
        </w:rPr>
        <w:t>池州学院</w:t>
      </w:r>
      <w:r>
        <w:rPr>
          <w:rFonts w:hint="eastAsia" w:ascii="仿宋_GB2312" w:hAnsi="Arial" w:eastAsia="仿宋_GB2312"/>
          <w:sz w:val="28"/>
        </w:rPr>
        <w:t>校区；总建筑面积m</w:t>
      </w:r>
      <w:r>
        <w:rPr>
          <w:rFonts w:hint="eastAsia" w:ascii="仿宋_GB2312" w:hAnsi="Arial" w:eastAsia="仿宋_GB2312"/>
          <w:sz w:val="28"/>
          <w:vertAlign w:val="superscript"/>
        </w:rPr>
        <w:t>2</w:t>
      </w:r>
      <w:r>
        <w:rPr>
          <w:rFonts w:hint="eastAsia" w:ascii="仿宋_GB2312" w:hAnsi="Arial" w:eastAsia="仿宋_GB2312"/>
          <w:sz w:val="28"/>
        </w:rPr>
        <w:t>；装饰情况：</w:t>
      </w:r>
    </w:p>
    <w:p>
      <w:pPr>
        <w:adjustRightInd w:val="0"/>
        <w:snapToGrid w:val="0"/>
        <w:spacing w:line="500" w:lineRule="exact"/>
        <w:ind w:left="140" w:hanging="140" w:hangingChars="50"/>
        <w:jc w:val="left"/>
        <w:rPr>
          <w:rFonts w:ascii="仿宋_GB2312" w:hAnsi="Arial" w:eastAsia="仿宋_GB2312"/>
          <w:sz w:val="28"/>
        </w:rPr>
      </w:pPr>
      <w:r>
        <w:rPr>
          <w:rFonts w:hint="eastAsia" w:ascii="仿宋_GB2312" w:hAnsi="Arial" w:eastAsia="仿宋_GB2312"/>
          <w:sz w:val="28"/>
        </w:rPr>
        <w:t>。</w:t>
      </w:r>
    </w:p>
    <w:p>
      <w:pPr>
        <w:adjustRightInd w:val="0"/>
        <w:snapToGrid w:val="0"/>
        <w:spacing w:line="500" w:lineRule="exact"/>
        <w:ind w:firstLine="560" w:firstLineChars="200"/>
        <w:jc w:val="left"/>
        <w:rPr>
          <w:rFonts w:ascii="仿宋_GB2312" w:hAnsi="Arial" w:eastAsia="仿宋_GB2312"/>
          <w:sz w:val="28"/>
        </w:rPr>
      </w:pPr>
      <w:r>
        <w:rPr>
          <w:rFonts w:hint="eastAsia" w:ascii="仿宋_GB2312" w:hAnsi="Arial" w:eastAsia="仿宋_GB2312"/>
          <w:sz w:val="28"/>
        </w:rPr>
        <w:t>设备设施见双方移交明细清单（见附件）。</w:t>
      </w:r>
    </w:p>
    <w:p>
      <w:pPr>
        <w:adjustRightInd w:val="0"/>
        <w:snapToGrid w:val="0"/>
        <w:spacing w:line="500" w:lineRule="exact"/>
        <w:ind w:firstLine="560" w:firstLineChars="200"/>
        <w:rPr>
          <w:rFonts w:ascii="黑体" w:hAnsi="Arial" w:eastAsia="黑体"/>
          <w:sz w:val="28"/>
        </w:rPr>
      </w:pPr>
      <w:r>
        <w:rPr>
          <w:rFonts w:hint="eastAsia" w:ascii="仿宋_GB2312" w:hAnsi="Arial" w:eastAsia="仿宋_GB2312"/>
          <w:sz w:val="28"/>
        </w:rPr>
        <w:t>第六条  乙方向甲方交纳合同履约保证金人民币万元整。合同期满，与甲方债权、债务结清后，并在乙方撤离之日起日内，退回履约保证金(不计利息)。</w:t>
      </w:r>
    </w:p>
    <w:p>
      <w:pPr>
        <w:adjustRightInd w:val="0"/>
        <w:snapToGrid w:val="0"/>
        <w:spacing w:line="500" w:lineRule="exact"/>
        <w:jc w:val="center"/>
        <w:rPr>
          <w:rFonts w:ascii="黑体" w:hAnsi="Arial" w:eastAsia="黑体"/>
          <w:sz w:val="28"/>
        </w:rPr>
      </w:pPr>
      <w:r>
        <w:rPr>
          <w:rFonts w:hint="eastAsia" w:ascii="黑体" w:hAnsi="Arial" w:eastAsia="黑体"/>
          <w:sz w:val="28"/>
        </w:rPr>
        <w:t>三、承包期限及相关约定</w:t>
      </w:r>
    </w:p>
    <w:p>
      <w:pPr>
        <w:adjustRightInd w:val="0"/>
        <w:snapToGrid w:val="0"/>
        <w:spacing w:line="500" w:lineRule="exact"/>
        <w:ind w:firstLine="560" w:firstLineChars="200"/>
        <w:rPr>
          <w:rFonts w:ascii="仿宋_GB2312" w:hAnsi="Arial" w:eastAsia="仿宋_GB2312"/>
          <w:sz w:val="28"/>
        </w:rPr>
      </w:pPr>
    </w:p>
    <w:p>
      <w:pPr>
        <w:numPr>
          <w:ilvl w:val="0"/>
          <w:numId w:val="5"/>
        </w:numPr>
        <w:adjustRightInd w:val="0"/>
        <w:snapToGrid w:val="0"/>
        <w:spacing w:line="500" w:lineRule="exact"/>
        <w:ind w:firstLine="560" w:firstLineChars="200"/>
        <w:rPr>
          <w:rFonts w:ascii="仿宋_GB2312" w:hAnsi="Arial" w:eastAsia="仿宋_GB2312"/>
          <w:sz w:val="28"/>
        </w:rPr>
      </w:pPr>
      <w:r>
        <w:rPr>
          <w:rFonts w:hint="eastAsia" w:ascii="仿宋_GB2312" w:hAnsi="Arial" w:eastAsia="仿宋_GB2312"/>
          <w:sz w:val="28"/>
        </w:rPr>
        <w:t xml:space="preserve"> 承包期限：自年月日至年月日止。</w:t>
      </w:r>
    </w:p>
    <w:p>
      <w:pPr>
        <w:adjustRightInd w:val="0"/>
        <w:snapToGrid w:val="0"/>
        <w:spacing w:line="500" w:lineRule="exact"/>
        <w:ind w:firstLine="560" w:firstLineChars="200"/>
        <w:rPr>
          <w:rFonts w:ascii="仿宋_GB2312" w:hAnsi="Arial" w:eastAsia="仿宋_GB2312"/>
          <w:b/>
          <w:sz w:val="28"/>
          <w:u w:val="single"/>
        </w:rPr>
      </w:pPr>
      <w:r>
        <w:rPr>
          <w:rFonts w:hint="eastAsia" w:ascii="仿宋_GB2312" w:hAnsi="Arial" w:eastAsia="仿宋_GB2312"/>
          <w:sz w:val="28"/>
        </w:rPr>
        <w:t>第八条  学生食堂使用的相关约定：</w:t>
      </w:r>
    </w:p>
    <w:p>
      <w:pPr>
        <w:adjustRightInd w:val="0"/>
        <w:snapToGrid w:val="0"/>
        <w:spacing w:line="500" w:lineRule="exact"/>
        <w:ind w:left="140" w:hanging="140" w:hangingChars="50"/>
        <w:rPr>
          <w:rFonts w:ascii="仿宋_GB2312" w:hAnsi="Arial" w:eastAsia="仿宋_GB2312"/>
          <w:sz w:val="28"/>
          <w:u w:val="single"/>
        </w:rPr>
      </w:pPr>
      <w:r>
        <w:rPr>
          <w:rFonts w:hint="eastAsia" w:ascii="仿宋_GB2312" w:hAnsi="Arial" w:eastAsia="仿宋_GB2312"/>
          <w:sz w:val="28"/>
          <w:u w:val="single"/>
        </w:rPr>
        <w:t xml:space="preserve">                                  　　　　　　　　　　　　　　　   </w:t>
      </w:r>
    </w:p>
    <w:p>
      <w:pPr>
        <w:adjustRightInd w:val="0"/>
        <w:snapToGrid w:val="0"/>
        <w:spacing w:line="500" w:lineRule="exact"/>
        <w:ind w:left="140" w:hanging="140" w:hangingChars="50"/>
        <w:rPr>
          <w:rFonts w:ascii="仿宋_GB2312" w:hAnsi="Arial" w:eastAsia="仿宋_GB2312"/>
          <w:sz w:val="28"/>
        </w:rPr>
      </w:pPr>
      <w:r>
        <w:rPr>
          <w:rFonts w:hint="eastAsia" w:ascii="仿宋_GB2312" w:hAnsi="Arial" w:eastAsia="仿宋_GB2312"/>
          <w:sz w:val="28"/>
          <w:u w:val="single"/>
        </w:rPr>
        <w:t xml:space="preserve">                　　　　　　　　　　　　　　　　　　　　　　　　</w:t>
      </w:r>
      <w:r>
        <w:rPr>
          <w:rFonts w:hint="eastAsia" w:ascii="仿宋_GB2312" w:hAnsi="Arial" w:eastAsia="仿宋_GB2312"/>
          <w:sz w:val="28"/>
        </w:rPr>
        <w:t>。</w:t>
      </w:r>
    </w:p>
    <w:p>
      <w:pPr>
        <w:wordWrap w:val="0"/>
        <w:topLinePunct/>
        <w:adjustRightInd w:val="0"/>
        <w:snapToGrid w:val="0"/>
        <w:spacing w:line="500" w:lineRule="exact"/>
        <w:ind w:firstLine="560" w:firstLineChars="200"/>
        <w:rPr>
          <w:rFonts w:ascii="仿宋_GB2312" w:hAnsi="Arial" w:eastAsia="仿宋_GB2312"/>
          <w:sz w:val="28"/>
        </w:rPr>
      </w:pPr>
      <w:r>
        <w:rPr>
          <w:rFonts w:hint="eastAsia" w:ascii="仿宋_GB2312" w:hAnsi="Arial" w:eastAsia="仿宋_GB2312"/>
          <w:sz w:val="28"/>
        </w:rPr>
        <w:t>第九条  乙方经营的学生食堂使用的水、电、燃气等价格的结算，依照国家规定执行当地居民价，水费按元/吨，电费按元/度，燃气费按元/立方米，蒸汽费按元/立方米计价。如遇当地政府调整以上价格标准，由双方协商做相应调整。</w:t>
      </w:r>
    </w:p>
    <w:p>
      <w:pPr>
        <w:adjustRightInd w:val="0"/>
        <w:snapToGrid w:val="0"/>
        <w:spacing w:line="500" w:lineRule="exact"/>
        <w:ind w:firstLine="560" w:firstLineChars="200"/>
        <w:rPr>
          <w:rFonts w:ascii="仿宋_GB2312" w:hAnsi="Arial" w:eastAsia="仿宋_GB2312"/>
          <w:sz w:val="28"/>
        </w:rPr>
      </w:pPr>
      <w:r>
        <w:rPr>
          <w:rFonts w:hint="eastAsia" w:ascii="仿宋_GB2312" w:hAnsi="Arial" w:eastAsia="仿宋_GB2312"/>
          <w:sz w:val="28"/>
        </w:rPr>
        <w:t>第十条  乙方向甲方缴纳物业管理费用(公共费),如治安、公共照明，垃圾清运等费用，每月标准为元（经营时间不足半月按1/2月计算，超过半月按整月计算）。</w:t>
      </w:r>
    </w:p>
    <w:p>
      <w:pPr>
        <w:adjustRightInd w:val="0"/>
        <w:snapToGrid w:val="0"/>
        <w:spacing w:line="500" w:lineRule="exact"/>
        <w:ind w:firstLine="560" w:firstLineChars="200"/>
        <w:rPr>
          <w:rFonts w:ascii="仿宋_GB2312" w:hAnsi="Arial" w:eastAsia="仿宋_GB2312"/>
          <w:sz w:val="28"/>
        </w:rPr>
      </w:pPr>
      <w:r>
        <w:rPr>
          <w:rFonts w:hint="eastAsia" w:ascii="仿宋_GB2312" w:hAnsi="Arial" w:eastAsia="仿宋_GB2312"/>
          <w:sz w:val="28"/>
        </w:rPr>
        <w:t>第十一条  消费交易方式：</w:t>
      </w:r>
    </w:p>
    <w:p>
      <w:pPr>
        <w:adjustRightInd w:val="0"/>
        <w:snapToGrid w:val="0"/>
        <w:spacing w:line="500" w:lineRule="exact"/>
        <w:ind w:left="141" w:leftChars="67" w:firstLine="396" w:firstLineChars="150"/>
        <w:rPr>
          <w:rFonts w:ascii="仿宋_GB2312" w:hAnsi="Arial" w:eastAsia="仿宋_GB2312"/>
          <w:sz w:val="28"/>
        </w:rPr>
      </w:pPr>
      <w:r>
        <w:rPr>
          <w:rFonts w:hint="eastAsia" w:ascii="仿宋_GB2312" w:hAnsi="Arial" w:eastAsia="仿宋_GB2312"/>
          <w:spacing w:val="-8"/>
          <w:sz w:val="28"/>
        </w:rPr>
        <w:t>甲方提供校园一卡通消费结算系统，乙方销售食品采用以下方式</w:t>
      </w:r>
      <w:r>
        <w:rPr>
          <w:rFonts w:hint="eastAsia" w:ascii="仿宋_GB2312" w:hAnsi="Arial" w:eastAsia="仿宋_GB2312"/>
          <w:sz w:val="28"/>
        </w:rPr>
        <w:t>进行交易。</w:t>
      </w:r>
    </w:p>
    <w:p>
      <w:pPr>
        <w:adjustRightInd w:val="0"/>
        <w:snapToGrid w:val="0"/>
        <w:spacing w:line="500" w:lineRule="exact"/>
        <w:ind w:firstLine="562" w:firstLineChars="200"/>
        <w:rPr>
          <w:rFonts w:ascii="仿宋_GB2312" w:hAnsi="Arial" w:eastAsia="仿宋_GB2312"/>
          <w:sz w:val="28"/>
        </w:rPr>
      </w:pPr>
      <w:r>
        <w:rPr>
          <w:rFonts w:hint="eastAsia" w:ascii="仿宋_GB2312" w:hAnsi="Arial" w:eastAsia="仿宋_GB2312"/>
          <w:b/>
          <w:sz w:val="28"/>
        </w:rPr>
        <w:t>方式一：</w:t>
      </w:r>
      <w:r>
        <w:rPr>
          <w:rFonts w:hint="eastAsia" w:ascii="仿宋_GB2312" w:hAnsi="Arial" w:eastAsia="仿宋_GB2312"/>
          <w:sz w:val="28"/>
        </w:rPr>
        <w:t>校园一卡通刷卡；</w:t>
      </w:r>
    </w:p>
    <w:p>
      <w:pPr>
        <w:adjustRightInd w:val="0"/>
        <w:snapToGrid w:val="0"/>
        <w:spacing w:line="500" w:lineRule="exact"/>
        <w:ind w:firstLine="559" w:firstLineChars="199"/>
        <w:rPr>
          <w:rFonts w:ascii="仿宋_GB2312" w:hAnsi="Arial" w:eastAsia="仿宋_GB2312"/>
          <w:sz w:val="28"/>
        </w:rPr>
      </w:pPr>
      <w:r>
        <w:rPr>
          <w:rFonts w:hint="eastAsia" w:ascii="仿宋_GB2312" w:hAnsi="Arial" w:eastAsia="仿宋_GB2312"/>
          <w:b/>
          <w:sz w:val="28"/>
        </w:rPr>
        <w:t>方式二：</w:t>
      </w:r>
      <w:r>
        <w:rPr>
          <w:rFonts w:hint="eastAsia" w:ascii="仿宋_GB2312" w:hAnsi="Arial" w:eastAsia="仿宋_GB2312"/>
          <w:sz w:val="28"/>
        </w:rPr>
        <w:t>商用收款机出售的代金券（甲方监管）；</w:t>
      </w:r>
    </w:p>
    <w:p>
      <w:pPr>
        <w:adjustRightInd w:val="0"/>
        <w:snapToGrid w:val="0"/>
        <w:spacing w:line="500" w:lineRule="exact"/>
        <w:ind w:firstLine="559" w:firstLineChars="199"/>
        <w:rPr>
          <w:rFonts w:ascii="仿宋_GB2312" w:hAnsi="Arial" w:eastAsia="仿宋_GB2312"/>
          <w:sz w:val="28"/>
        </w:rPr>
      </w:pPr>
      <w:r>
        <w:rPr>
          <w:rFonts w:hint="eastAsia" w:ascii="仿宋_GB2312" w:hAnsi="Arial" w:eastAsia="仿宋_GB2312"/>
          <w:b/>
          <w:sz w:val="28"/>
        </w:rPr>
        <w:t>方式三：</w:t>
      </w:r>
      <w:r>
        <w:rPr>
          <w:rFonts w:hint="eastAsia" w:ascii="仿宋_GB2312" w:hAnsi="Arial" w:eastAsia="仿宋_GB2312"/>
          <w:sz w:val="28"/>
        </w:rPr>
        <w:t>校园一卡通刷卡和商用收款机出售的代金券。</w:t>
      </w:r>
    </w:p>
    <w:p>
      <w:pPr>
        <w:adjustRightInd w:val="0"/>
        <w:snapToGrid w:val="0"/>
        <w:spacing w:line="500" w:lineRule="exact"/>
        <w:ind w:firstLine="562" w:firstLineChars="200"/>
        <w:rPr>
          <w:rFonts w:ascii="仿宋_GB2312" w:hAnsi="Arial" w:eastAsia="仿宋_GB2312"/>
          <w:b/>
          <w:sz w:val="28"/>
          <w:u w:val="single"/>
        </w:rPr>
      </w:pPr>
      <w:r>
        <w:rPr>
          <w:rFonts w:hint="eastAsia" w:ascii="仿宋_GB2312" w:hAnsi="Arial" w:eastAsia="仿宋_GB2312"/>
          <w:b/>
          <w:sz w:val="28"/>
        </w:rPr>
        <w:t>相关约定：</w:t>
      </w:r>
    </w:p>
    <w:p>
      <w:pPr>
        <w:adjustRightInd w:val="0"/>
        <w:snapToGrid w:val="0"/>
        <w:spacing w:line="500" w:lineRule="exact"/>
        <w:rPr>
          <w:rFonts w:ascii="仿宋_GB2312" w:hAnsi="Arial" w:eastAsia="仿宋_GB2312"/>
          <w:sz w:val="28"/>
          <w:u w:val="single"/>
        </w:rPr>
      </w:pPr>
    </w:p>
    <w:p>
      <w:pPr>
        <w:adjustRightInd w:val="0"/>
        <w:snapToGrid w:val="0"/>
        <w:spacing w:line="500" w:lineRule="exact"/>
        <w:rPr>
          <w:rFonts w:ascii="仿宋_GB2312" w:hAnsi="Arial" w:eastAsia="仿宋_GB2312"/>
          <w:sz w:val="28"/>
          <w:u w:val="single"/>
        </w:rPr>
      </w:pPr>
    </w:p>
    <w:p>
      <w:pPr>
        <w:adjustRightInd w:val="0"/>
        <w:snapToGrid w:val="0"/>
        <w:spacing w:line="500" w:lineRule="exact"/>
        <w:rPr>
          <w:rFonts w:ascii="仿宋_GB2312" w:hAnsi="Arial" w:eastAsia="仿宋_GB2312"/>
          <w:sz w:val="28"/>
        </w:rPr>
      </w:pPr>
      <w:r>
        <w:rPr>
          <w:rFonts w:hint="eastAsia" w:ascii="仿宋_GB2312" w:hAnsi="Arial" w:eastAsia="仿宋_GB2312"/>
          <w:sz w:val="28"/>
        </w:rPr>
        <w:t>。</w:t>
      </w:r>
    </w:p>
    <w:p>
      <w:pPr>
        <w:adjustRightInd w:val="0"/>
        <w:snapToGrid w:val="0"/>
        <w:spacing w:line="500" w:lineRule="exact"/>
        <w:ind w:firstLine="560" w:firstLineChars="200"/>
        <w:rPr>
          <w:rFonts w:ascii="仿宋_GB2312" w:hAnsi="Arial" w:eastAsia="仿宋_GB2312"/>
          <w:sz w:val="28"/>
        </w:rPr>
      </w:pPr>
      <w:r>
        <w:rPr>
          <w:rFonts w:hint="eastAsia" w:ascii="仿宋_GB2312" w:hAnsi="Arial" w:eastAsia="仿宋_GB2312"/>
          <w:sz w:val="28"/>
        </w:rPr>
        <w:t>第十二条  结算规定：</w:t>
      </w:r>
    </w:p>
    <w:p>
      <w:pPr>
        <w:adjustRightInd w:val="0"/>
        <w:snapToGrid w:val="0"/>
        <w:spacing w:line="500" w:lineRule="exact"/>
        <w:ind w:firstLine="560" w:firstLineChars="200"/>
        <w:rPr>
          <w:rFonts w:ascii="仿宋_GB2312" w:hAnsi="Arial" w:eastAsia="仿宋_GB2312"/>
          <w:sz w:val="28"/>
        </w:rPr>
      </w:pPr>
      <w:r>
        <w:rPr>
          <w:rFonts w:hint="eastAsia" w:ascii="仿宋_GB2312" w:hAnsi="Arial" w:eastAsia="仿宋_GB2312"/>
          <w:sz w:val="28"/>
        </w:rPr>
        <w:t>1、甲方应及时汇总乙方当月营业额，在扣除乙方应承担的水电等相关费用后，于下月日前办理结算支付。</w:t>
      </w:r>
    </w:p>
    <w:p>
      <w:pPr>
        <w:adjustRightInd w:val="0"/>
        <w:snapToGrid w:val="0"/>
        <w:spacing w:line="500" w:lineRule="exact"/>
        <w:ind w:firstLine="560" w:firstLineChars="200"/>
        <w:rPr>
          <w:rFonts w:ascii="仿宋_GB2312" w:hAnsi="Arial" w:eastAsia="仿宋_GB2312"/>
          <w:sz w:val="28"/>
        </w:rPr>
      </w:pPr>
      <w:r>
        <w:rPr>
          <w:rFonts w:hint="eastAsia" w:ascii="仿宋_GB2312" w:hAnsi="Arial" w:eastAsia="仿宋_GB2312"/>
          <w:sz w:val="28"/>
        </w:rPr>
        <w:t>若刷卡收费额不够扣除乙方应承担的相关费用时，乙方应当及时补足差额。</w:t>
      </w:r>
    </w:p>
    <w:p>
      <w:pPr>
        <w:adjustRightInd w:val="0"/>
        <w:snapToGrid w:val="0"/>
        <w:spacing w:line="500" w:lineRule="exact"/>
        <w:ind w:firstLine="560" w:firstLineChars="200"/>
        <w:rPr>
          <w:rFonts w:ascii="仿宋_GB2312" w:hAnsi="Arial" w:eastAsia="仿宋_GB2312"/>
          <w:sz w:val="28"/>
          <w:u w:val="single"/>
        </w:rPr>
      </w:pPr>
      <w:r>
        <w:rPr>
          <w:rFonts w:hint="eastAsia" w:ascii="仿宋_GB2312" w:hAnsi="Arial" w:eastAsia="仿宋_GB2312"/>
          <w:sz w:val="28"/>
        </w:rPr>
        <w:t>2、其它：</w:t>
      </w:r>
    </w:p>
    <w:p>
      <w:pPr>
        <w:adjustRightInd w:val="0"/>
        <w:snapToGrid w:val="0"/>
        <w:spacing w:line="500" w:lineRule="exact"/>
        <w:rPr>
          <w:rFonts w:ascii="仿宋_GB2312" w:hAnsi="Arial" w:eastAsia="仿宋_GB2312"/>
          <w:sz w:val="28"/>
          <w:u w:val="single"/>
        </w:rPr>
      </w:pPr>
    </w:p>
    <w:p>
      <w:pPr>
        <w:adjustRightInd w:val="0"/>
        <w:snapToGrid w:val="0"/>
        <w:spacing w:line="500" w:lineRule="exact"/>
        <w:rPr>
          <w:rFonts w:ascii="仿宋_GB2312" w:hAnsi="Arial" w:eastAsia="仿宋_GB2312"/>
          <w:sz w:val="28"/>
        </w:rPr>
      </w:pPr>
      <w:r>
        <w:rPr>
          <w:rFonts w:hint="eastAsia" w:ascii="仿宋_GB2312" w:hAnsi="Arial" w:eastAsia="仿宋_GB2312"/>
          <w:sz w:val="28"/>
        </w:rPr>
        <w:t>。</w:t>
      </w:r>
    </w:p>
    <w:p>
      <w:pPr>
        <w:adjustRightInd w:val="0"/>
        <w:snapToGrid w:val="0"/>
        <w:spacing w:line="500" w:lineRule="exact"/>
        <w:ind w:firstLine="560" w:firstLineChars="200"/>
        <w:rPr>
          <w:rFonts w:ascii="仿宋_GB2312" w:hAnsi="Arial" w:eastAsia="仿宋_GB2312"/>
          <w:sz w:val="28"/>
        </w:rPr>
      </w:pPr>
    </w:p>
    <w:p>
      <w:pPr>
        <w:adjustRightInd w:val="0"/>
        <w:snapToGrid w:val="0"/>
        <w:spacing w:line="500" w:lineRule="exact"/>
        <w:ind w:firstLine="560" w:firstLineChars="200"/>
        <w:jc w:val="center"/>
        <w:rPr>
          <w:rFonts w:ascii="黑体" w:hAnsi="Arial" w:eastAsia="黑体"/>
          <w:sz w:val="28"/>
        </w:rPr>
      </w:pPr>
      <w:r>
        <w:rPr>
          <w:rFonts w:hint="eastAsia" w:ascii="黑体" w:hAnsi="Arial" w:eastAsia="黑体"/>
          <w:sz w:val="28"/>
        </w:rPr>
        <w:t>四、甲方的权利和义务</w:t>
      </w:r>
    </w:p>
    <w:p>
      <w:pPr>
        <w:adjustRightInd w:val="0"/>
        <w:snapToGrid w:val="0"/>
        <w:spacing w:line="500" w:lineRule="exact"/>
        <w:ind w:firstLine="560" w:firstLineChars="200"/>
        <w:rPr>
          <w:rFonts w:ascii="仿宋_GB2312" w:hAnsi="Arial" w:eastAsia="仿宋_GB2312"/>
          <w:sz w:val="28"/>
        </w:rPr>
      </w:pPr>
    </w:p>
    <w:p>
      <w:pPr>
        <w:adjustRightInd w:val="0"/>
        <w:snapToGrid w:val="0"/>
        <w:spacing w:line="500" w:lineRule="exact"/>
        <w:ind w:firstLine="560" w:firstLineChars="200"/>
        <w:rPr>
          <w:rFonts w:ascii="仿宋_GB2312" w:hAnsi="Arial" w:eastAsia="仿宋_GB2312"/>
          <w:sz w:val="28"/>
        </w:rPr>
      </w:pPr>
      <w:r>
        <w:rPr>
          <w:rFonts w:hint="eastAsia" w:ascii="仿宋_GB2312" w:hAnsi="Arial" w:eastAsia="仿宋_GB2312"/>
          <w:sz w:val="28"/>
        </w:rPr>
        <w:t>第十三条  依据法律、法规和相关文件精神，制订本校“学生食堂管理规定及相关处罚规定”，据此对学生食堂进行日常监管。针对可能出现的食品卫生安全、消防安全等隐患</w:t>
      </w:r>
      <w:r>
        <w:rPr>
          <w:rFonts w:ascii="仿宋_GB2312" w:hAnsi="Arial" w:eastAsia="仿宋_GB2312"/>
          <w:sz w:val="28"/>
        </w:rPr>
        <w:t>,</w:t>
      </w:r>
      <w:r>
        <w:rPr>
          <w:rFonts w:hint="eastAsia" w:ascii="仿宋_GB2312" w:hAnsi="Arial" w:eastAsia="仿宋_GB2312"/>
          <w:sz w:val="28"/>
        </w:rPr>
        <w:t>有权要求乙方限时整改。</w:t>
      </w:r>
    </w:p>
    <w:p>
      <w:pPr>
        <w:adjustRightInd w:val="0"/>
        <w:snapToGrid w:val="0"/>
        <w:spacing w:line="500" w:lineRule="exact"/>
        <w:ind w:firstLine="560" w:firstLineChars="200"/>
        <w:rPr>
          <w:rFonts w:ascii="仿宋_GB2312" w:hAnsi="Arial" w:eastAsia="仿宋_GB2312"/>
          <w:sz w:val="28"/>
        </w:rPr>
      </w:pPr>
      <w:r>
        <w:rPr>
          <w:rFonts w:hint="eastAsia" w:ascii="仿宋_GB2312" w:hAnsi="Arial" w:eastAsia="仿宋_GB2312"/>
          <w:sz w:val="28"/>
        </w:rPr>
        <w:t>第十四条  对租赁资产进行监督检查，对学生食堂因自然因素损坏部分进行修缮或进行必要的改造（因乙方非正常使用造成的损坏则由乙方承担修缮、改造费用）。</w:t>
      </w:r>
    </w:p>
    <w:p>
      <w:pPr>
        <w:adjustRightInd w:val="0"/>
        <w:snapToGrid w:val="0"/>
        <w:spacing w:line="500" w:lineRule="exact"/>
        <w:ind w:firstLine="560" w:firstLineChars="200"/>
        <w:rPr>
          <w:rFonts w:ascii="仿宋_GB2312" w:hAnsi="Arial" w:eastAsia="仿宋_GB2312"/>
          <w:sz w:val="28"/>
        </w:rPr>
      </w:pPr>
      <w:r>
        <w:rPr>
          <w:rFonts w:hint="eastAsia" w:ascii="仿宋_GB2312" w:hAnsi="Arial" w:eastAsia="仿宋_GB2312"/>
          <w:sz w:val="28"/>
        </w:rPr>
        <w:t>第十五条  对乙方经营过程中的原料采购，食品加工过程中的卫生状况，所售食品的品种、份量、质量、价格及服务态度和在投标文件中所有承诺的兑现情况等实行监督检查，并进行考核评价。</w:t>
      </w:r>
    </w:p>
    <w:p>
      <w:pPr>
        <w:adjustRightInd w:val="0"/>
        <w:snapToGrid w:val="0"/>
        <w:spacing w:line="500" w:lineRule="exact"/>
        <w:ind w:firstLine="560" w:firstLineChars="200"/>
        <w:rPr>
          <w:rFonts w:ascii="仿宋_GB2312" w:hAnsi="Arial" w:eastAsia="仿宋_GB2312"/>
          <w:sz w:val="28"/>
        </w:rPr>
      </w:pPr>
      <w:r>
        <w:rPr>
          <w:rFonts w:hint="eastAsia" w:ascii="仿宋_GB2312" w:hAnsi="Arial" w:eastAsia="仿宋_GB2312"/>
          <w:sz w:val="28"/>
        </w:rPr>
        <w:t>第十六条  协调校园内外关系，为乙方创造应有的经营条件和环境，维护乙方合法权益。</w:t>
      </w:r>
    </w:p>
    <w:p>
      <w:pPr>
        <w:adjustRightInd w:val="0"/>
        <w:snapToGrid w:val="0"/>
        <w:spacing w:line="500" w:lineRule="exact"/>
        <w:ind w:firstLine="560" w:firstLineChars="200"/>
        <w:rPr>
          <w:rFonts w:ascii="仿宋_GB2312" w:hAnsi="Arial" w:eastAsia="仿宋_GB2312"/>
          <w:sz w:val="28"/>
        </w:rPr>
      </w:pPr>
      <w:r>
        <w:rPr>
          <w:rFonts w:hint="eastAsia" w:ascii="仿宋_GB2312" w:hAnsi="Arial" w:eastAsia="仿宋_GB2312"/>
          <w:sz w:val="28"/>
        </w:rPr>
        <w:t>第十七条  协助乙方办理经营手续和做好相关服务工作;保证水、电、气（汽）等正常供应。</w:t>
      </w:r>
    </w:p>
    <w:p>
      <w:pPr>
        <w:adjustRightInd w:val="0"/>
        <w:snapToGrid w:val="0"/>
        <w:spacing w:line="500" w:lineRule="exact"/>
        <w:ind w:firstLine="560" w:firstLineChars="200"/>
        <w:rPr>
          <w:rFonts w:ascii="仿宋_GB2312" w:hAnsi="Arial" w:eastAsia="仿宋_GB2312"/>
          <w:sz w:val="28"/>
        </w:rPr>
      </w:pPr>
      <w:r>
        <w:rPr>
          <w:rFonts w:hint="eastAsia" w:ascii="仿宋_GB2312" w:hAnsi="Arial" w:eastAsia="仿宋_GB2312"/>
          <w:sz w:val="28"/>
        </w:rPr>
        <w:t>第十八条  依照本合同“结算规定”，办理营业款项结算支付。</w:t>
      </w:r>
    </w:p>
    <w:p>
      <w:pPr>
        <w:adjustRightInd w:val="0"/>
        <w:snapToGrid w:val="0"/>
        <w:spacing w:line="500" w:lineRule="exact"/>
        <w:ind w:firstLine="560" w:firstLineChars="200"/>
        <w:rPr>
          <w:rFonts w:ascii="仿宋_GB2312" w:hAnsi="Arial" w:eastAsia="仿宋_GB2312"/>
          <w:sz w:val="28"/>
        </w:rPr>
      </w:pPr>
    </w:p>
    <w:p>
      <w:pPr>
        <w:adjustRightInd w:val="0"/>
        <w:snapToGrid w:val="0"/>
        <w:spacing w:line="500" w:lineRule="exact"/>
        <w:ind w:firstLine="560" w:firstLineChars="200"/>
        <w:jc w:val="center"/>
        <w:rPr>
          <w:rFonts w:ascii="黑体" w:hAnsi="Arial" w:eastAsia="黑体"/>
          <w:sz w:val="28"/>
        </w:rPr>
      </w:pPr>
      <w:r>
        <w:rPr>
          <w:rFonts w:hint="eastAsia" w:ascii="黑体" w:hAnsi="Arial" w:eastAsia="黑体"/>
          <w:sz w:val="28"/>
        </w:rPr>
        <w:t>五、乙方的权利和义务</w:t>
      </w:r>
    </w:p>
    <w:p>
      <w:pPr>
        <w:adjustRightInd w:val="0"/>
        <w:snapToGrid w:val="0"/>
        <w:spacing w:line="500" w:lineRule="exact"/>
        <w:ind w:firstLine="560" w:firstLineChars="200"/>
        <w:rPr>
          <w:rFonts w:ascii="仿宋_GB2312" w:hAnsi="Arial" w:eastAsia="仿宋_GB2312"/>
          <w:sz w:val="28"/>
        </w:rPr>
      </w:pPr>
    </w:p>
    <w:p>
      <w:pPr>
        <w:adjustRightInd w:val="0"/>
        <w:snapToGrid w:val="0"/>
        <w:spacing w:line="500" w:lineRule="exact"/>
        <w:ind w:firstLine="560" w:firstLineChars="200"/>
        <w:rPr>
          <w:rFonts w:ascii="仿宋_GB2312" w:hAnsi="Arial" w:eastAsia="仿宋_GB2312"/>
          <w:sz w:val="28"/>
        </w:rPr>
      </w:pPr>
      <w:r>
        <w:rPr>
          <w:rFonts w:hint="eastAsia" w:ascii="仿宋_GB2312" w:hAnsi="Arial" w:eastAsia="仿宋_GB2312"/>
          <w:sz w:val="28"/>
        </w:rPr>
        <w:t>第十九条  依法享有经营标的物的使用权，自主经营、自负盈亏，自担风险；享有本合同“结算规定”中的营业款结算权。</w:t>
      </w:r>
    </w:p>
    <w:p>
      <w:pPr>
        <w:adjustRightInd w:val="0"/>
        <w:snapToGrid w:val="0"/>
        <w:spacing w:line="500" w:lineRule="exact"/>
        <w:ind w:firstLine="560" w:firstLineChars="200"/>
        <w:rPr>
          <w:rFonts w:ascii="仿宋_GB2312" w:hAnsi="Arial" w:eastAsia="仿宋_GB2312"/>
          <w:sz w:val="28"/>
        </w:rPr>
      </w:pPr>
      <w:r>
        <w:rPr>
          <w:rFonts w:hint="eastAsia" w:ascii="仿宋_GB2312" w:hAnsi="Arial" w:eastAsia="仿宋_GB2312"/>
          <w:sz w:val="28"/>
        </w:rPr>
        <w:t>第二十条  依照《食品安全法》等法律法规和学校有关规定，建立健全规范完备的财务制度、用工制度、工作规范、安全防范、卫生保障、物资采购、质量监督、价格管理和文明服务等制度，以及食物中毒、火灾等重大事故应急预案，并抓好落实。</w:t>
      </w:r>
    </w:p>
    <w:p>
      <w:pPr>
        <w:adjustRightInd w:val="0"/>
        <w:snapToGrid w:val="0"/>
        <w:spacing w:line="500" w:lineRule="exact"/>
        <w:ind w:firstLine="560" w:firstLineChars="200"/>
        <w:rPr>
          <w:rFonts w:ascii="仿宋_GB2312" w:hAnsi="Arial" w:eastAsia="仿宋_GB2312"/>
          <w:sz w:val="28"/>
        </w:rPr>
      </w:pPr>
      <w:r>
        <w:rPr>
          <w:rFonts w:hint="eastAsia" w:ascii="仿宋_GB2312" w:hAnsi="Arial" w:eastAsia="仿宋_GB2312"/>
          <w:sz w:val="28"/>
        </w:rPr>
        <w:t>制订的相关卫生管理条款及服务承诺应在用餐场所公示，接受用餐者监督。</w:t>
      </w:r>
    </w:p>
    <w:p>
      <w:pPr>
        <w:adjustRightInd w:val="0"/>
        <w:snapToGrid w:val="0"/>
        <w:spacing w:line="500" w:lineRule="exact"/>
        <w:ind w:firstLine="560" w:firstLineChars="200"/>
        <w:rPr>
          <w:rFonts w:ascii="仿宋_GB2312" w:hAnsi="Arial" w:eastAsia="仿宋_GB2312"/>
          <w:sz w:val="28"/>
        </w:rPr>
      </w:pPr>
      <w:r>
        <w:rPr>
          <w:rFonts w:hint="eastAsia" w:ascii="仿宋_GB2312" w:hAnsi="Arial" w:eastAsia="仿宋_GB2312"/>
          <w:sz w:val="28"/>
        </w:rPr>
        <w:t>第二十一条  按规定到属地食品药品监督部门或卫生行政部门办理《餐饮服务许可证》，并按规定年检。</w:t>
      </w:r>
    </w:p>
    <w:p>
      <w:pPr>
        <w:adjustRightInd w:val="0"/>
        <w:snapToGrid w:val="0"/>
        <w:spacing w:line="500" w:lineRule="exact"/>
        <w:ind w:firstLine="560" w:firstLineChars="200"/>
        <w:rPr>
          <w:rFonts w:ascii="仿宋_GB2312" w:hAnsi="Arial" w:eastAsia="仿宋_GB2312"/>
          <w:sz w:val="28"/>
        </w:rPr>
      </w:pPr>
      <w:r>
        <w:rPr>
          <w:rFonts w:hint="eastAsia" w:ascii="仿宋_GB2312" w:hAnsi="Arial" w:eastAsia="仿宋_GB2312"/>
          <w:sz w:val="28"/>
        </w:rPr>
        <w:t>第二十二条  按照《劳动合同法》自主聘用员工，保障员工合法权益。其从业人员必须持有《健康证》上岗，并按规定体检。</w:t>
      </w:r>
    </w:p>
    <w:p>
      <w:pPr>
        <w:adjustRightInd w:val="0"/>
        <w:snapToGrid w:val="0"/>
        <w:spacing w:line="500" w:lineRule="exact"/>
        <w:ind w:firstLine="560" w:firstLineChars="200"/>
        <w:rPr>
          <w:rFonts w:ascii="仿宋_GB2312" w:hAnsi="Arial" w:eastAsia="仿宋_GB2312"/>
          <w:sz w:val="28"/>
        </w:rPr>
      </w:pPr>
      <w:r>
        <w:rPr>
          <w:rFonts w:hint="eastAsia" w:ascii="仿宋_GB2312" w:hAnsi="Arial" w:eastAsia="仿宋_GB2312"/>
          <w:sz w:val="28"/>
        </w:rPr>
        <w:t>第二十三条  积极配合、主动接受当地卫生行政部门、教育行政部门和学校的监督、指导和管理。</w:t>
      </w:r>
    </w:p>
    <w:p>
      <w:pPr>
        <w:adjustRightInd w:val="0"/>
        <w:snapToGrid w:val="0"/>
        <w:spacing w:line="500" w:lineRule="exact"/>
        <w:ind w:firstLine="560" w:firstLineChars="200"/>
        <w:rPr>
          <w:rFonts w:ascii="仿宋_GB2312" w:hAnsi="Arial" w:eastAsia="仿宋_GB2312"/>
          <w:sz w:val="28"/>
        </w:rPr>
      </w:pPr>
      <w:r>
        <w:rPr>
          <w:rFonts w:hint="eastAsia" w:ascii="仿宋_GB2312" w:hAnsi="Arial" w:eastAsia="仿宋_GB2312"/>
          <w:sz w:val="28"/>
        </w:rPr>
        <w:t>第二十四条  按照学生食堂的经营规模，配齐配足相关的管理人员和技术人员，制订从业人员食品卫生知识培训计划，定期组织员工参加相关岗前及岗中培训，并对培训结果进行评价。从业人员应统一着装，挂牌上岗。</w:t>
      </w:r>
    </w:p>
    <w:p>
      <w:pPr>
        <w:adjustRightInd w:val="0"/>
        <w:snapToGrid w:val="0"/>
        <w:spacing w:line="500" w:lineRule="exact"/>
        <w:ind w:firstLine="560" w:firstLineChars="200"/>
        <w:rPr>
          <w:rFonts w:ascii="仿宋_GB2312" w:hAnsi="Arial" w:eastAsia="仿宋_GB2312"/>
          <w:sz w:val="28"/>
        </w:rPr>
      </w:pPr>
      <w:r>
        <w:rPr>
          <w:rFonts w:hint="eastAsia" w:ascii="仿宋_GB2312" w:hAnsi="Arial" w:eastAsia="仿宋_GB2312"/>
          <w:sz w:val="28"/>
        </w:rPr>
        <w:t xml:space="preserve">第二十五条  </w:t>
      </w:r>
      <w:r>
        <w:rPr>
          <w:rFonts w:hint="eastAsia" w:ascii="仿宋_GB2312" w:hAnsi="宋体" w:eastAsia="仿宋_GB2312"/>
          <w:sz w:val="28"/>
        </w:rPr>
        <w:t>建立健全学生食堂消防安全制度，定期组织员工培训，规范操作和使用设备，</w:t>
      </w:r>
      <w:r>
        <w:rPr>
          <w:rFonts w:hint="eastAsia" w:ascii="仿宋_GB2312" w:hAnsi="Arial" w:eastAsia="仿宋_GB2312"/>
          <w:sz w:val="28"/>
        </w:rPr>
        <w:t>保证承租房屋和设备设施等标的物完好，对设备设施进行定期维护保养，</w:t>
      </w:r>
      <w:r>
        <w:rPr>
          <w:rFonts w:hint="eastAsia" w:ascii="仿宋_GB2312" w:hAnsi="宋体" w:eastAsia="仿宋_GB2312"/>
          <w:sz w:val="28"/>
        </w:rPr>
        <w:t>并做好厨房烟囱、排油烟管道的清洗工作，防止火灾事故发生。</w:t>
      </w:r>
    </w:p>
    <w:p>
      <w:pPr>
        <w:adjustRightInd w:val="0"/>
        <w:snapToGrid w:val="0"/>
        <w:spacing w:line="500" w:lineRule="exact"/>
        <w:ind w:firstLine="560" w:firstLineChars="200"/>
        <w:rPr>
          <w:rFonts w:ascii="仿宋_GB2312" w:hAnsi="Arial" w:eastAsia="仿宋_GB2312"/>
          <w:sz w:val="28"/>
        </w:rPr>
      </w:pPr>
      <w:r>
        <w:rPr>
          <w:rFonts w:hint="eastAsia" w:ascii="仿宋_GB2312" w:hAnsi="Arial" w:eastAsia="仿宋_GB2312"/>
          <w:sz w:val="28"/>
        </w:rPr>
        <w:t>第二十六条  采购、存贮、加工和销售食品应符合有关要求。采购食品原材料，要索票索证，并建立管理台帐；销售食品要符合卫生规范，明码标价，所售食品成品按规定留样。</w:t>
      </w:r>
    </w:p>
    <w:p>
      <w:pPr>
        <w:adjustRightInd w:val="0"/>
        <w:snapToGrid w:val="0"/>
        <w:spacing w:line="500" w:lineRule="exact"/>
        <w:ind w:firstLine="560" w:firstLineChars="200"/>
        <w:rPr>
          <w:rFonts w:ascii="仿宋_GB2312" w:hAnsi="Arial" w:eastAsia="仿宋_GB2312"/>
          <w:sz w:val="28"/>
        </w:rPr>
      </w:pPr>
      <w:r>
        <w:rPr>
          <w:rFonts w:hint="eastAsia" w:ascii="仿宋_GB2312" w:hAnsi="Arial" w:eastAsia="仿宋_GB2312"/>
          <w:sz w:val="28"/>
        </w:rPr>
        <w:t>第二十七条  向就餐者提供的餐饮器具必须按规定清洗、消毒和存放，并做好消毒记录。</w:t>
      </w:r>
    </w:p>
    <w:p>
      <w:pPr>
        <w:adjustRightInd w:val="0"/>
        <w:snapToGrid w:val="0"/>
        <w:spacing w:line="500" w:lineRule="exact"/>
        <w:ind w:firstLine="560" w:firstLineChars="200"/>
        <w:rPr>
          <w:rFonts w:ascii="仿宋_GB2312" w:hAnsi="Arial" w:eastAsia="仿宋_GB2312"/>
          <w:sz w:val="28"/>
        </w:rPr>
      </w:pPr>
      <w:r>
        <w:rPr>
          <w:rFonts w:hint="eastAsia" w:ascii="仿宋_GB2312" w:hAnsi="Arial" w:eastAsia="仿宋_GB2312"/>
          <w:sz w:val="28"/>
        </w:rPr>
        <w:t>第二十八条  确保学生食堂主副食品正常供应及饭菜价格基本稳定。所供主食品种早餐不少于种，中餐不少于种，晚餐不少于种；中、晚餐副食品种供应不少于种，其高、中、低档菜肴比例为3：5：2，并有足量品质的低价菜和免费汤供应，以满足不同消费层次学生需求。假期中的供应保障应服从学校统一安排，做好学生餐饮的供应保障；学校放假停业和开学营业时间，按学校通知执行。</w:t>
      </w:r>
    </w:p>
    <w:p>
      <w:pPr>
        <w:adjustRightInd w:val="0"/>
        <w:snapToGrid w:val="0"/>
        <w:spacing w:line="500" w:lineRule="exact"/>
        <w:ind w:firstLine="560" w:firstLineChars="200"/>
        <w:rPr>
          <w:rFonts w:ascii="仿宋_GB2312" w:hAnsi="Arial" w:eastAsia="仿宋_GB2312"/>
          <w:sz w:val="28"/>
        </w:rPr>
      </w:pPr>
    </w:p>
    <w:p>
      <w:pPr>
        <w:adjustRightInd w:val="0"/>
        <w:snapToGrid w:val="0"/>
        <w:spacing w:line="500" w:lineRule="exact"/>
        <w:jc w:val="center"/>
        <w:rPr>
          <w:rFonts w:ascii="黑体" w:hAnsi="Arial" w:eastAsia="黑体"/>
          <w:sz w:val="28"/>
        </w:rPr>
      </w:pPr>
      <w:r>
        <w:rPr>
          <w:rFonts w:hint="eastAsia" w:ascii="黑体" w:hAnsi="Arial" w:eastAsia="黑体"/>
          <w:sz w:val="28"/>
        </w:rPr>
        <w:t>六、合同的变更、中止、解除</w:t>
      </w:r>
    </w:p>
    <w:p>
      <w:pPr>
        <w:adjustRightInd w:val="0"/>
        <w:snapToGrid w:val="0"/>
        <w:spacing w:line="500" w:lineRule="exact"/>
        <w:ind w:firstLine="560" w:firstLineChars="200"/>
        <w:rPr>
          <w:rFonts w:ascii="仿宋_GB2312" w:hAnsi="Arial" w:eastAsia="仿宋_GB2312"/>
          <w:sz w:val="28"/>
        </w:rPr>
      </w:pPr>
    </w:p>
    <w:p>
      <w:pPr>
        <w:adjustRightInd w:val="0"/>
        <w:snapToGrid w:val="0"/>
        <w:spacing w:line="500" w:lineRule="exact"/>
        <w:ind w:firstLine="560" w:firstLineChars="200"/>
        <w:rPr>
          <w:rFonts w:ascii="仿宋_GB2312" w:hAnsi="Arial" w:eastAsia="仿宋_GB2312"/>
          <w:sz w:val="28"/>
        </w:rPr>
      </w:pPr>
      <w:r>
        <w:rPr>
          <w:rFonts w:hint="eastAsia" w:ascii="仿宋_GB2312" w:hAnsi="Arial" w:eastAsia="仿宋_GB2312"/>
          <w:sz w:val="28"/>
        </w:rPr>
        <w:t>第二十九条  变更、中止或解除合同情形</w:t>
      </w:r>
    </w:p>
    <w:p>
      <w:pPr>
        <w:adjustRightInd w:val="0"/>
        <w:snapToGrid w:val="0"/>
        <w:spacing w:line="500" w:lineRule="exact"/>
        <w:ind w:firstLine="560" w:firstLineChars="200"/>
        <w:rPr>
          <w:rFonts w:ascii="仿宋_GB2312" w:hAnsi="Arial" w:eastAsia="仿宋_GB2312"/>
          <w:sz w:val="28"/>
        </w:rPr>
      </w:pPr>
      <w:r>
        <w:rPr>
          <w:rFonts w:hint="eastAsia" w:ascii="仿宋_GB2312" w:hAnsi="Arial" w:eastAsia="仿宋_GB2312"/>
          <w:sz w:val="28"/>
        </w:rPr>
        <w:t>（一）乙方有以下情形，甲方有权变更、中止或解除合同</w:t>
      </w:r>
    </w:p>
    <w:p>
      <w:pPr>
        <w:adjustRightInd w:val="0"/>
        <w:snapToGrid w:val="0"/>
        <w:spacing w:line="500" w:lineRule="exact"/>
        <w:ind w:firstLine="560" w:firstLineChars="200"/>
        <w:rPr>
          <w:rFonts w:ascii="仿宋_GB2312" w:hAnsi="Arial" w:eastAsia="仿宋_GB2312"/>
          <w:sz w:val="28"/>
        </w:rPr>
      </w:pPr>
      <w:r>
        <w:rPr>
          <w:rFonts w:hint="eastAsia" w:ascii="仿宋_GB2312" w:hAnsi="Arial" w:eastAsia="仿宋_GB2312"/>
          <w:sz w:val="28"/>
        </w:rPr>
        <w:t>1、未按相关法律法规建立相应管理制度或执行制度不力，被相关行政部门处罚且限期整改不力的；</w:t>
      </w:r>
    </w:p>
    <w:p>
      <w:pPr>
        <w:adjustRightInd w:val="0"/>
        <w:snapToGrid w:val="0"/>
        <w:spacing w:line="500" w:lineRule="exact"/>
        <w:ind w:firstLine="560" w:firstLineChars="200"/>
        <w:rPr>
          <w:rFonts w:ascii="仿宋_GB2312" w:hAnsi="Arial" w:eastAsia="仿宋_GB2312"/>
          <w:sz w:val="28"/>
        </w:rPr>
      </w:pPr>
      <w:r>
        <w:rPr>
          <w:rFonts w:hint="eastAsia" w:ascii="仿宋_GB2312" w:hAnsi="Arial" w:eastAsia="仿宋_GB2312"/>
          <w:sz w:val="28"/>
        </w:rPr>
        <w:t>2、经营期间，出现师生食物中毒，或安全生产责任事故，且造成严重后果的；</w:t>
      </w:r>
    </w:p>
    <w:p>
      <w:pPr>
        <w:adjustRightInd w:val="0"/>
        <w:snapToGrid w:val="0"/>
        <w:spacing w:line="500" w:lineRule="exact"/>
        <w:ind w:firstLine="560" w:firstLineChars="200"/>
        <w:rPr>
          <w:rFonts w:ascii="仿宋_GB2312" w:hAnsi="Arial" w:eastAsia="仿宋_GB2312"/>
          <w:sz w:val="28"/>
        </w:rPr>
      </w:pPr>
      <w:r>
        <w:rPr>
          <w:rFonts w:hint="eastAsia" w:ascii="仿宋_GB2312" w:hAnsi="Arial" w:eastAsia="仿宋_GB2312"/>
          <w:sz w:val="28"/>
        </w:rPr>
        <w:t>3、因食品价格波动、食品卫生安全和服务质量等而引起的就餐人员罢餐、静坐、聚众闹事等群发事件，影响恶劣的；</w:t>
      </w:r>
    </w:p>
    <w:p>
      <w:pPr>
        <w:adjustRightInd w:val="0"/>
        <w:snapToGrid w:val="0"/>
        <w:spacing w:line="500" w:lineRule="exact"/>
        <w:ind w:firstLine="560" w:firstLineChars="200"/>
        <w:rPr>
          <w:rFonts w:ascii="仿宋_GB2312" w:hAnsi="Arial" w:eastAsia="仿宋_GB2312"/>
          <w:sz w:val="28"/>
        </w:rPr>
      </w:pPr>
      <w:r>
        <w:rPr>
          <w:rFonts w:hint="eastAsia" w:ascii="仿宋_GB2312" w:hAnsi="Arial" w:eastAsia="仿宋_GB2312"/>
          <w:sz w:val="28"/>
        </w:rPr>
        <w:t>4、在经营过程中，存在掺杂使假，销售无证、过期食品、未按规定范围经营等违规行为，经学校规劝、限期整改无效且情节严重的；</w:t>
      </w:r>
    </w:p>
    <w:p>
      <w:pPr>
        <w:adjustRightInd w:val="0"/>
        <w:snapToGrid w:val="0"/>
        <w:spacing w:line="500" w:lineRule="exact"/>
        <w:ind w:firstLine="560" w:firstLineChars="200"/>
        <w:rPr>
          <w:rFonts w:ascii="仿宋_GB2312" w:hAnsi="Arial" w:eastAsia="仿宋_GB2312"/>
          <w:sz w:val="28"/>
        </w:rPr>
      </w:pPr>
      <w:r>
        <w:rPr>
          <w:rFonts w:hint="eastAsia" w:ascii="仿宋_GB2312" w:hAnsi="Arial" w:eastAsia="仿宋_GB2312"/>
          <w:sz w:val="28"/>
        </w:rPr>
        <w:t>5、在经营过程中有转包、分包经营行为的；</w:t>
      </w:r>
    </w:p>
    <w:p>
      <w:pPr>
        <w:adjustRightInd w:val="0"/>
        <w:snapToGrid w:val="0"/>
        <w:spacing w:line="500" w:lineRule="exact"/>
        <w:ind w:firstLine="560" w:firstLineChars="200"/>
        <w:rPr>
          <w:rFonts w:ascii="仿宋_GB2312" w:hAnsi="Arial" w:eastAsia="仿宋_GB2312"/>
          <w:sz w:val="28"/>
        </w:rPr>
      </w:pPr>
      <w:r>
        <w:rPr>
          <w:rFonts w:hint="eastAsia" w:ascii="仿宋_GB2312" w:hAnsi="Arial" w:eastAsia="仿宋_GB2312"/>
          <w:sz w:val="28"/>
        </w:rPr>
        <w:t>6、在学期中途无故停止营业的；</w:t>
      </w:r>
    </w:p>
    <w:p>
      <w:pPr>
        <w:adjustRightInd w:val="0"/>
        <w:snapToGrid w:val="0"/>
        <w:spacing w:line="500" w:lineRule="exact"/>
        <w:ind w:firstLine="560" w:firstLineChars="200"/>
        <w:rPr>
          <w:rFonts w:ascii="仿宋_GB2312" w:hAnsi="Arial" w:eastAsia="仿宋_GB2312"/>
          <w:sz w:val="28"/>
        </w:rPr>
      </w:pPr>
      <w:r>
        <w:rPr>
          <w:rFonts w:hint="eastAsia" w:ascii="仿宋_GB2312" w:hAnsi="Arial" w:eastAsia="仿宋_GB2312"/>
          <w:sz w:val="28"/>
        </w:rPr>
        <w:t>7、其它违规、违约行为的。</w:t>
      </w:r>
    </w:p>
    <w:p>
      <w:pPr>
        <w:adjustRightInd w:val="0"/>
        <w:snapToGrid w:val="0"/>
        <w:spacing w:line="500" w:lineRule="exact"/>
        <w:ind w:firstLine="560" w:firstLineChars="200"/>
        <w:rPr>
          <w:rFonts w:ascii="仿宋_GB2312" w:hAnsi="Arial" w:eastAsia="仿宋_GB2312"/>
          <w:sz w:val="28"/>
        </w:rPr>
      </w:pPr>
      <w:r>
        <w:rPr>
          <w:rFonts w:hint="eastAsia" w:ascii="仿宋_GB2312" w:hAnsi="Arial" w:eastAsia="仿宋_GB2312"/>
          <w:sz w:val="28"/>
        </w:rPr>
        <w:t>（二）甲方有以下情形，乙方有权变更、中止或解除合同</w:t>
      </w:r>
    </w:p>
    <w:p>
      <w:pPr>
        <w:adjustRightInd w:val="0"/>
        <w:snapToGrid w:val="0"/>
        <w:spacing w:line="500" w:lineRule="exact"/>
        <w:ind w:firstLine="560" w:firstLineChars="200"/>
        <w:rPr>
          <w:rFonts w:ascii="仿宋_GB2312" w:hAnsi="Arial" w:eastAsia="仿宋_GB2312"/>
          <w:sz w:val="28"/>
        </w:rPr>
      </w:pPr>
      <w:r>
        <w:rPr>
          <w:rFonts w:hint="eastAsia" w:ascii="仿宋_GB2312" w:hAnsi="Arial" w:eastAsia="仿宋_GB2312"/>
          <w:sz w:val="28"/>
        </w:rPr>
        <w:t>1、无故停水、停电、停气（汽），给乙方造成较大经济损失的（因市政工程检修和校园工程检修等事前告知除外）；</w:t>
      </w:r>
    </w:p>
    <w:p>
      <w:pPr>
        <w:adjustRightInd w:val="0"/>
        <w:snapToGrid w:val="0"/>
        <w:spacing w:line="500" w:lineRule="exact"/>
        <w:ind w:firstLine="560" w:firstLineChars="200"/>
        <w:rPr>
          <w:rFonts w:ascii="仿宋_GB2312" w:hAnsi="Arial" w:eastAsia="仿宋_GB2312"/>
          <w:sz w:val="28"/>
        </w:rPr>
      </w:pPr>
      <w:r>
        <w:rPr>
          <w:rFonts w:hint="eastAsia" w:ascii="仿宋_GB2312" w:hAnsi="Arial" w:eastAsia="仿宋_GB2312"/>
          <w:sz w:val="28"/>
        </w:rPr>
        <w:t>2、无故拖延、未按时办理营业款结算支付，逾期日的。</w:t>
      </w:r>
    </w:p>
    <w:p>
      <w:pPr>
        <w:adjustRightInd w:val="0"/>
        <w:snapToGrid w:val="0"/>
        <w:spacing w:line="500" w:lineRule="exact"/>
        <w:ind w:firstLine="560" w:firstLineChars="200"/>
        <w:rPr>
          <w:rFonts w:ascii="仿宋_GB2312" w:hAnsi="Arial" w:eastAsia="仿宋_GB2312"/>
          <w:sz w:val="28"/>
        </w:rPr>
      </w:pPr>
      <w:r>
        <w:rPr>
          <w:rFonts w:hint="eastAsia" w:ascii="仿宋_GB2312" w:hAnsi="Arial" w:eastAsia="仿宋_GB2312"/>
          <w:sz w:val="28"/>
        </w:rPr>
        <w:t>（三）其它经双方协商一致的，可变更、中止或解除合同。</w:t>
      </w:r>
    </w:p>
    <w:p>
      <w:pPr>
        <w:adjustRightInd w:val="0"/>
        <w:snapToGrid w:val="0"/>
        <w:spacing w:line="500" w:lineRule="exact"/>
        <w:ind w:firstLine="560" w:firstLineChars="200"/>
        <w:rPr>
          <w:rFonts w:ascii="仿宋_GB2312" w:hAnsi="Arial" w:eastAsia="仿宋_GB2312"/>
          <w:sz w:val="28"/>
        </w:rPr>
      </w:pPr>
      <w:r>
        <w:rPr>
          <w:rFonts w:hint="eastAsia" w:ascii="仿宋_GB2312" w:hAnsi="Arial" w:eastAsia="仿宋_GB2312"/>
          <w:sz w:val="28"/>
        </w:rPr>
        <w:t>第三十条  甲乙双方因不可抗拒的原因，使合同无法完全履行或者完全无法履行的，可以提前变更或解除合同。提前解除合同的，双方均不承担任何违约责任；变更合同的具体事项由双方协商解决。</w:t>
      </w:r>
    </w:p>
    <w:p>
      <w:pPr>
        <w:adjustRightInd w:val="0"/>
        <w:snapToGrid w:val="0"/>
        <w:spacing w:line="500" w:lineRule="exact"/>
        <w:ind w:firstLine="560" w:firstLineChars="200"/>
        <w:rPr>
          <w:rFonts w:ascii="仿宋_GB2312" w:hAnsi="Arial" w:eastAsia="仿宋_GB2312"/>
          <w:sz w:val="28"/>
        </w:rPr>
      </w:pPr>
      <w:r>
        <w:rPr>
          <w:rFonts w:hint="eastAsia" w:ascii="仿宋_GB2312" w:hAnsi="Arial" w:eastAsia="仿宋_GB2312"/>
          <w:sz w:val="28"/>
        </w:rPr>
        <w:t>第三十一条  合同终止，甲乙双方应及时清点移交资产，结算帐目，乙方应于五日内无条件撤离。乙方经营期间自行添置的设备、器具等动产归乙方所有；乙方因满足其经营，对学生食堂进行装修、装饰等设施及其它不动产应无偿移交甲方（双方合同另有约定除外）。如乙方逾期仍有财物存放经营场所，甲方有权单方面对遗留财物予以处理。</w:t>
      </w:r>
    </w:p>
    <w:p>
      <w:pPr>
        <w:adjustRightInd w:val="0"/>
        <w:snapToGrid w:val="0"/>
        <w:spacing w:line="500" w:lineRule="exact"/>
        <w:ind w:firstLine="645"/>
        <w:jc w:val="center"/>
        <w:rPr>
          <w:rFonts w:ascii="黑体" w:hAnsi="Arial" w:eastAsia="黑体"/>
          <w:sz w:val="28"/>
        </w:rPr>
      </w:pPr>
    </w:p>
    <w:p>
      <w:pPr>
        <w:adjustRightInd w:val="0"/>
        <w:snapToGrid w:val="0"/>
        <w:spacing w:line="500" w:lineRule="exact"/>
        <w:jc w:val="center"/>
        <w:rPr>
          <w:rFonts w:ascii="黑体" w:hAnsi="Arial" w:eastAsia="黑体"/>
          <w:sz w:val="28"/>
        </w:rPr>
      </w:pPr>
      <w:r>
        <w:rPr>
          <w:rFonts w:hint="eastAsia" w:ascii="黑体" w:hAnsi="Arial" w:eastAsia="黑体"/>
          <w:sz w:val="28"/>
        </w:rPr>
        <w:t>七、违约责任</w:t>
      </w:r>
    </w:p>
    <w:p>
      <w:pPr>
        <w:adjustRightInd w:val="0"/>
        <w:snapToGrid w:val="0"/>
        <w:spacing w:line="500" w:lineRule="exact"/>
        <w:ind w:firstLine="645"/>
        <w:rPr>
          <w:rFonts w:ascii="仿宋_GB2312" w:hAnsi="Arial" w:eastAsia="仿宋_GB2312"/>
          <w:sz w:val="28"/>
        </w:rPr>
      </w:pPr>
    </w:p>
    <w:p>
      <w:pPr>
        <w:adjustRightInd w:val="0"/>
        <w:snapToGrid w:val="0"/>
        <w:spacing w:line="500" w:lineRule="exact"/>
        <w:ind w:firstLine="560" w:firstLineChars="200"/>
        <w:rPr>
          <w:rFonts w:ascii="仿宋_GB2312" w:hAnsi="Arial" w:eastAsia="仿宋_GB2312"/>
          <w:sz w:val="28"/>
        </w:rPr>
      </w:pPr>
      <w:r>
        <w:rPr>
          <w:rFonts w:hint="eastAsia" w:ascii="仿宋_GB2312" w:hAnsi="Arial" w:eastAsia="仿宋_GB2312"/>
          <w:sz w:val="28"/>
        </w:rPr>
        <w:t>第三十二条  甲方违反结算约定，不按时结算和办理营业款支付，从逾期之日起，按应付金额的‰按日向乙方支付违约金。</w:t>
      </w:r>
    </w:p>
    <w:p>
      <w:pPr>
        <w:adjustRightInd w:val="0"/>
        <w:snapToGrid w:val="0"/>
        <w:spacing w:line="500" w:lineRule="exact"/>
        <w:ind w:firstLine="560" w:firstLineChars="200"/>
        <w:rPr>
          <w:rFonts w:ascii="仿宋_GB2312" w:hAnsi="Arial" w:eastAsia="仿宋_GB2312"/>
          <w:sz w:val="28"/>
        </w:rPr>
      </w:pPr>
      <w:r>
        <w:rPr>
          <w:rFonts w:hint="eastAsia" w:ascii="仿宋_GB2312" w:hAnsi="Arial" w:eastAsia="仿宋_GB2312"/>
          <w:sz w:val="28"/>
        </w:rPr>
        <w:t>第三十三条  甲方无故停水、停电、停气（汽），致使乙方无法正常营业，造成经济损失的，应向乙方予以赔偿。</w:t>
      </w:r>
    </w:p>
    <w:p>
      <w:pPr>
        <w:adjustRightInd w:val="0"/>
        <w:snapToGrid w:val="0"/>
        <w:spacing w:line="500" w:lineRule="exact"/>
        <w:ind w:firstLine="560" w:firstLineChars="200"/>
        <w:rPr>
          <w:rFonts w:ascii="仿宋_GB2312" w:hAnsi="Arial" w:eastAsia="仿宋_GB2312"/>
          <w:sz w:val="28"/>
        </w:rPr>
      </w:pPr>
      <w:r>
        <w:rPr>
          <w:rFonts w:hint="eastAsia" w:ascii="仿宋_GB2312" w:hAnsi="Arial" w:eastAsia="仿宋_GB2312"/>
          <w:sz w:val="28"/>
        </w:rPr>
        <w:t>第三十四条  乙方违反消费交易方式，自行实施现金直接交易或收取现金不纳入财务管理的，甲方每次可处以200元以上-1000元以下罚款。</w:t>
      </w:r>
    </w:p>
    <w:p>
      <w:pPr>
        <w:adjustRightInd w:val="0"/>
        <w:snapToGrid w:val="0"/>
        <w:spacing w:line="500" w:lineRule="exact"/>
        <w:ind w:firstLine="560" w:firstLineChars="200"/>
        <w:rPr>
          <w:rFonts w:ascii="仿宋_GB2312" w:hAnsi="Arial" w:eastAsia="仿宋_GB2312"/>
          <w:sz w:val="28"/>
        </w:rPr>
      </w:pPr>
      <w:r>
        <w:rPr>
          <w:rFonts w:hint="eastAsia" w:ascii="仿宋_GB2312" w:hAnsi="Arial" w:eastAsia="仿宋_GB2312"/>
          <w:sz w:val="28"/>
        </w:rPr>
        <w:t>第三十五条  乙方违反国家法律法规和相关管理规定，以及合同第二十九条（一）款（1-6项）的，除按规定承担相应的民事责任外，甲方可处1000元以上-10000元以下罚款。违犯刑律的，移交司法机关追究刑事责任。</w:t>
      </w:r>
    </w:p>
    <w:p>
      <w:pPr>
        <w:adjustRightInd w:val="0"/>
        <w:snapToGrid w:val="0"/>
        <w:spacing w:line="500" w:lineRule="exact"/>
        <w:ind w:firstLine="560" w:firstLineChars="200"/>
        <w:rPr>
          <w:rFonts w:ascii="仿宋_GB2312" w:hAnsi="Arial" w:eastAsia="仿宋_GB2312"/>
          <w:sz w:val="28"/>
        </w:rPr>
      </w:pPr>
      <w:r>
        <w:rPr>
          <w:rFonts w:hint="eastAsia" w:ascii="仿宋_GB2312" w:hAnsi="Arial" w:eastAsia="仿宋_GB2312"/>
          <w:sz w:val="28"/>
        </w:rPr>
        <w:t>第三十六条  乙方不按规定管理、使用和维护标的物，造成标的物灭失或损坏的，按标的物原值赔偿或修复。</w:t>
      </w:r>
    </w:p>
    <w:p>
      <w:pPr>
        <w:adjustRightInd w:val="0"/>
        <w:snapToGrid w:val="0"/>
        <w:spacing w:line="500" w:lineRule="exact"/>
        <w:ind w:firstLine="560" w:firstLineChars="200"/>
        <w:rPr>
          <w:rFonts w:ascii="仿宋_GB2312" w:hAnsi="Arial" w:eastAsia="仿宋_GB2312"/>
          <w:sz w:val="28"/>
        </w:rPr>
      </w:pPr>
      <w:r>
        <w:rPr>
          <w:rFonts w:hint="eastAsia" w:ascii="仿宋_GB2312" w:hAnsi="Arial" w:eastAsia="仿宋_GB2312"/>
          <w:sz w:val="28"/>
        </w:rPr>
        <w:t>第三十七条  甲方根据校方制定的《池州学院社会餐饮企业监督及奖惩管理办法》及《池州学院社会餐饮企业师生满意度测评实施办法（试行）》”对学校学生食堂实施日常监督管理。双方可据此制定相应处罚细则。</w:t>
      </w:r>
    </w:p>
    <w:p>
      <w:pPr>
        <w:adjustRightInd w:val="0"/>
        <w:snapToGrid w:val="0"/>
        <w:spacing w:line="500" w:lineRule="exact"/>
        <w:ind w:firstLine="560" w:firstLineChars="200"/>
        <w:rPr>
          <w:rFonts w:ascii="仿宋_GB2312" w:hAnsi="Arial" w:eastAsia="仿宋_GB2312"/>
          <w:sz w:val="28"/>
        </w:rPr>
      </w:pPr>
      <w:r>
        <w:rPr>
          <w:rFonts w:hint="eastAsia" w:ascii="仿宋_GB2312" w:hAnsi="Arial" w:eastAsia="仿宋_GB2312"/>
          <w:sz w:val="28"/>
        </w:rPr>
        <w:t>第三十八条  违约金及处罚金，自责任确定起10日内扣除或支付。也可在双方当月结算时一并清算。</w:t>
      </w:r>
    </w:p>
    <w:p>
      <w:pPr>
        <w:adjustRightInd w:val="0"/>
        <w:snapToGrid w:val="0"/>
        <w:spacing w:line="500" w:lineRule="exact"/>
        <w:ind w:firstLine="560" w:firstLineChars="200"/>
        <w:rPr>
          <w:rFonts w:ascii="仿宋_GB2312" w:hAnsi="Arial" w:eastAsia="仿宋_GB2312"/>
          <w:sz w:val="28"/>
        </w:rPr>
      </w:pPr>
    </w:p>
    <w:p>
      <w:pPr>
        <w:adjustRightInd w:val="0"/>
        <w:snapToGrid w:val="0"/>
        <w:spacing w:line="500" w:lineRule="exact"/>
        <w:ind w:firstLine="645"/>
        <w:jc w:val="center"/>
        <w:rPr>
          <w:rFonts w:ascii="黑体" w:hAnsi="Arial" w:eastAsia="黑体"/>
          <w:sz w:val="28"/>
        </w:rPr>
      </w:pPr>
      <w:r>
        <w:rPr>
          <w:rFonts w:hint="eastAsia" w:ascii="黑体" w:hAnsi="Arial" w:eastAsia="黑体"/>
          <w:sz w:val="28"/>
        </w:rPr>
        <w:t>八、附   则</w:t>
      </w:r>
    </w:p>
    <w:p>
      <w:pPr>
        <w:adjustRightInd w:val="0"/>
        <w:snapToGrid w:val="0"/>
        <w:spacing w:line="500" w:lineRule="exact"/>
        <w:rPr>
          <w:rFonts w:ascii="仿宋_GB2312" w:hAnsi="Arial" w:eastAsia="仿宋_GB2312"/>
          <w:sz w:val="28"/>
        </w:rPr>
      </w:pPr>
    </w:p>
    <w:p>
      <w:pPr>
        <w:adjustRightInd w:val="0"/>
        <w:snapToGrid w:val="0"/>
        <w:spacing w:line="500" w:lineRule="exact"/>
        <w:ind w:firstLine="560" w:firstLineChars="200"/>
        <w:rPr>
          <w:rFonts w:ascii="仿宋_GB2312" w:hAnsi="Arial" w:eastAsia="仿宋_GB2312"/>
          <w:sz w:val="28"/>
        </w:rPr>
      </w:pPr>
      <w:r>
        <w:rPr>
          <w:rFonts w:hint="eastAsia" w:ascii="仿宋_GB2312" w:hAnsi="Arial" w:eastAsia="仿宋_GB2312"/>
          <w:sz w:val="28"/>
        </w:rPr>
        <w:t>第三十九条  本合同经双方签字盖章，并办理设备设施交接手续和乙方向甲方交纳合同履约保证金后生效。</w:t>
      </w:r>
    </w:p>
    <w:p>
      <w:pPr>
        <w:adjustRightInd w:val="0"/>
        <w:snapToGrid w:val="0"/>
        <w:spacing w:line="500" w:lineRule="exact"/>
        <w:ind w:firstLine="560" w:firstLineChars="200"/>
        <w:rPr>
          <w:rFonts w:ascii="仿宋_GB2312" w:hAnsi="Arial" w:eastAsia="仿宋_GB2312"/>
          <w:sz w:val="28"/>
        </w:rPr>
      </w:pPr>
      <w:r>
        <w:rPr>
          <w:rFonts w:hint="eastAsia" w:ascii="仿宋_GB2312" w:hAnsi="Arial" w:eastAsia="仿宋_GB2312"/>
          <w:sz w:val="28"/>
        </w:rPr>
        <w:t>第四十条  本合同的附件与本合同具有同等的法律效力。</w:t>
      </w:r>
    </w:p>
    <w:p>
      <w:pPr>
        <w:adjustRightInd w:val="0"/>
        <w:snapToGrid w:val="0"/>
        <w:spacing w:line="500" w:lineRule="exact"/>
        <w:ind w:firstLine="560" w:firstLineChars="200"/>
        <w:rPr>
          <w:rFonts w:ascii="仿宋_GB2312" w:hAnsi="Arial" w:eastAsia="仿宋_GB2312"/>
          <w:sz w:val="28"/>
        </w:rPr>
      </w:pPr>
      <w:r>
        <w:rPr>
          <w:rFonts w:hint="eastAsia" w:ascii="仿宋_GB2312" w:hAnsi="Arial" w:eastAsia="仿宋_GB2312"/>
          <w:sz w:val="28"/>
        </w:rPr>
        <w:t>第四十一条  未尽事宜，由双方协商解决，协商不成可向当地人民法院提起诉讼。</w:t>
      </w:r>
    </w:p>
    <w:p>
      <w:pPr>
        <w:adjustRightInd w:val="0"/>
        <w:snapToGrid w:val="0"/>
        <w:spacing w:line="500" w:lineRule="exact"/>
        <w:ind w:firstLine="560" w:firstLineChars="200"/>
        <w:rPr>
          <w:rFonts w:ascii="仿宋_GB2312" w:hAnsi="Arial" w:eastAsia="仿宋_GB2312"/>
          <w:sz w:val="28"/>
        </w:rPr>
      </w:pPr>
      <w:r>
        <w:rPr>
          <w:rFonts w:hint="eastAsia" w:ascii="仿宋_GB2312" w:hAnsi="Arial" w:eastAsia="仿宋_GB2312"/>
          <w:sz w:val="28"/>
        </w:rPr>
        <w:t>第四十二条  本合同及附件一式份</w:t>
      </w:r>
      <w:r>
        <w:rPr>
          <w:rFonts w:ascii="仿宋_GB2312" w:hAnsi="Arial" w:eastAsia="仿宋_GB2312"/>
          <w:sz w:val="28"/>
        </w:rPr>
        <w:t>,</w:t>
      </w:r>
      <w:r>
        <w:rPr>
          <w:rFonts w:hint="eastAsia" w:ascii="仿宋_GB2312" w:hAnsi="Arial" w:eastAsia="仿宋_GB2312"/>
          <w:sz w:val="28"/>
        </w:rPr>
        <w:t>甲乙双方各执份。</w:t>
      </w:r>
    </w:p>
    <w:p>
      <w:pPr>
        <w:adjustRightInd w:val="0"/>
        <w:snapToGrid w:val="0"/>
        <w:spacing w:line="500" w:lineRule="exact"/>
        <w:ind w:firstLine="560" w:firstLineChars="200"/>
        <w:rPr>
          <w:rFonts w:ascii="仿宋_GB2312" w:hAnsi="Arial" w:eastAsia="仿宋_GB2312"/>
          <w:sz w:val="28"/>
        </w:rPr>
      </w:pPr>
    </w:p>
    <w:p>
      <w:pPr>
        <w:adjustRightInd w:val="0"/>
        <w:snapToGrid w:val="0"/>
        <w:spacing w:line="500" w:lineRule="exact"/>
        <w:ind w:firstLine="562" w:firstLineChars="200"/>
        <w:rPr>
          <w:rFonts w:ascii="仿宋_GB2312" w:hAnsi="Arial" w:eastAsia="仿宋_GB2312"/>
          <w:b/>
          <w:bCs/>
          <w:sz w:val="28"/>
        </w:rPr>
      </w:pPr>
      <w:r>
        <w:rPr>
          <w:rFonts w:hint="eastAsia" w:ascii="仿宋_GB2312" w:hAnsi="Arial" w:eastAsia="仿宋_GB2312"/>
          <w:b/>
          <w:bCs/>
          <w:sz w:val="28"/>
        </w:rPr>
        <w:t>附件：</w:t>
      </w:r>
    </w:p>
    <w:p>
      <w:pPr>
        <w:adjustRightInd w:val="0"/>
        <w:snapToGrid w:val="0"/>
        <w:spacing w:line="500" w:lineRule="exact"/>
        <w:ind w:firstLine="562" w:firstLineChars="200"/>
        <w:rPr>
          <w:rFonts w:ascii="仿宋_GB2312" w:hAnsi="Arial" w:eastAsia="仿宋_GB2312"/>
          <w:b/>
          <w:bCs/>
          <w:sz w:val="28"/>
        </w:rPr>
      </w:pPr>
      <w:r>
        <w:rPr>
          <w:rFonts w:hint="eastAsia" w:ascii="仿宋_GB2312" w:hAnsi="Arial" w:eastAsia="仿宋_GB2312"/>
          <w:b/>
          <w:bCs/>
          <w:sz w:val="28"/>
        </w:rPr>
        <w:t>1、设备设施移交明细清单</w:t>
      </w:r>
    </w:p>
    <w:p>
      <w:pPr>
        <w:adjustRightInd w:val="0"/>
        <w:snapToGrid w:val="0"/>
        <w:spacing w:line="500" w:lineRule="exact"/>
        <w:ind w:firstLine="562" w:firstLineChars="200"/>
        <w:rPr>
          <w:rFonts w:ascii="仿宋_GB2312" w:hAnsi="Arial" w:eastAsia="仿宋_GB2312"/>
          <w:b/>
          <w:bCs/>
          <w:sz w:val="28"/>
        </w:rPr>
      </w:pPr>
      <w:r>
        <w:rPr>
          <w:rFonts w:hint="eastAsia" w:ascii="仿宋_GB2312" w:hAnsi="Arial" w:eastAsia="仿宋_GB2312"/>
          <w:b/>
          <w:bCs/>
          <w:sz w:val="28"/>
        </w:rPr>
        <w:t>2、《池州学院社会餐饮企业监督及奖惩管理办法》</w:t>
      </w:r>
    </w:p>
    <w:p>
      <w:pPr>
        <w:adjustRightInd w:val="0"/>
        <w:snapToGrid w:val="0"/>
        <w:spacing w:line="500" w:lineRule="exact"/>
        <w:ind w:firstLine="562" w:firstLineChars="200"/>
        <w:rPr>
          <w:rFonts w:ascii="仿宋_GB2312" w:hAnsi="Arial" w:eastAsia="仿宋_GB2312"/>
          <w:b/>
          <w:bCs/>
          <w:sz w:val="28"/>
        </w:rPr>
      </w:pPr>
      <w:r>
        <w:rPr>
          <w:rFonts w:hint="eastAsia" w:ascii="仿宋_GB2312" w:hAnsi="Arial" w:eastAsia="仿宋_GB2312"/>
          <w:b/>
          <w:bCs/>
          <w:sz w:val="28"/>
        </w:rPr>
        <w:t>3、《池州学院社会餐饮企业师生满意度测评实施办法（试行）》</w:t>
      </w:r>
    </w:p>
    <w:p>
      <w:pPr>
        <w:adjustRightInd w:val="0"/>
        <w:snapToGrid w:val="0"/>
        <w:spacing w:line="500" w:lineRule="exact"/>
        <w:rPr>
          <w:rFonts w:ascii="仿宋_GB2312" w:hAnsi="Arial" w:eastAsia="仿宋_GB2312"/>
          <w:sz w:val="28"/>
        </w:rPr>
      </w:pPr>
    </w:p>
    <w:p>
      <w:pPr>
        <w:adjustRightInd w:val="0"/>
        <w:snapToGrid w:val="0"/>
        <w:spacing w:line="500" w:lineRule="exact"/>
        <w:ind w:firstLine="645"/>
        <w:rPr>
          <w:rFonts w:ascii="仿宋_GB2312" w:hAnsi="Arial" w:eastAsia="仿宋_GB2312"/>
          <w:sz w:val="28"/>
        </w:rPr>
      </w:pPr>
      <w:r>
        <w:rPr>
          <w:rFonts w:hint="eastAsia" w:ascii="仿宋_GB2312" w:hAnsi="Arial" w:eastAsia="仿宋_GB2312"/>
          <w:sz w:val="28"/>
        </w:rPr>
        <w:t>甲方(章)：                   乙方(章)：</w:t>
      </w:r>
    </w:p>
    <w:p>
      <w:pPr>
        <w:adjustRightInd w:val="0"/>
        <w:snapToGrid w:val="0"/>
        <w:spacing w:line="500" w:lineRule="exact"/>
        <w:ind w:firstLine="645"/>
        <w:rPr>
          <w:rFonts w:ascii="仿宋_GB2312" w:hAnsi="Arial" w:eastAsia="仿宋_GB2312"/>
          <w:sz w:val="28"/>
        </w:rPr>
      </w:pPr>
      <w:r>
        <w:rPr>
          <w:rFonts w:hint="eastAsia" w:ascii="仿宋_GB2312" w:hAnsi="Arial" w:eastAsia="仿宋_GB2312"/>
          <w:sz w:val="28"/>
        </w:rPr>
        <w:t>地    址：                   地    址：</w:t>
      </w:r>
    </w:p>
    <w:p>
      <w:pPr>
        <w:adjustRightInd w:val="0"/>
        <w:snapToGrid w:val="0"/>
        <w:spacing w:line="500" w:lineRule="exact"/>
        <w:ind w:firstLine="645"/>
        <w:rPr>
          <w:rFonts w:ascii="仿宋_GB2312" w:hAnsi="Arial" w:eastAsia="仿宋_GB2312"/>
          <w:sz w:val="28"/>
        </w:rPr>
      </w:pPr>
      <w:r>
        <w:rPr>
          <w:rFonts w:hint="eastAsia" w:ascii="仿宋_GB2312" w:hAnsi="Arial" w:eastAsia="仿宋_GB2312"/>
          <w:sz w:val="28"/>
        </w:rPr>
        <w:t>法定代表人：                 法定代表人：</w:t>
      </w:r>
    </w:p>
    <w:p>
      <w:pPr>
        <w:adjustRightInd w:val="0"/>
        <w:snapToGrid w:val="0"/>
        <w:spacing w:line="500" w:lineRule="exact"/>
        <w:ind w:firstLine="645"/>
        <w:rPr>
          <w:rFonts w:ascii="仿宋_GB2312" w:hAnsi="Arial" w:eastAsia="仿宋_GB2312"/>
          <w:sz w:val="28"/>
        </w:rPr>
      </w:pPr>
      <w:r>
        <w:rPr>
          <w:rFonts w:hint="eastAsia" w:ascii="仿宋_GB2312" w:hAnsi="Arial" w:eastAsia="仿宋_GB2312"/>
          <w:sz w:val="28"/>
        </w:rPr>
        <w:t>委托代理人：                 委托代理人：</w:t>
      </w:r>
    </w:p>
    <w:p>
      <w:pPr>
        <w:adjustRightInd w:val="0"/>
        <w:snapToGrid w:val="0"/>
        <w:spacing w:line="500" w:lineRule="exact"/>
        <w:ind w:firstLine="645"/>
        <w:rPr>
          <w:rFonts w:ascii="仿宋_GB2312" w:hAnsi="Arial" w:eastAsia="仿宋_GB2312"/>
          <w:sz w:val="28"/>
        </w:rPr>
      </w:pPr>
      <w:r>
        <w:rPr>
          <w:rFonts w:hint="eastAsia" w:ascii="仿宋_GB2312" w:hAnsi="Arial" w:eastAsia="仿宋_GB2312"/>
          <w:sz w:val="28"/>
        </w:rPr>
        <w:t>电    话：                   电    话：</w:t>
      </w:r>
    </w:p>
    <w:p>
      <w:pPr>
        <w:adjustRightInd w:val="0"/>
        <w:snapToGrid w:val="0"/>
        <w:spacing w:line="500" w:lineRule="exact"/>
        <w:ind w:firstLine="645"/>
        <w:rPr>
          <w:rFonts w:ascii="仿宋_GB2312" w:hAnsi="Arial" w:eastAsia="仿宋_GB2312"/>
          <w:sz w:val="28"/>
        </w:rPr>
      </w:pPr>
      <w:r>
        <w:rPr>
          <w:rFonts w:hint="eastAsia" w:ascii="仿宋_GB2312" w:hAnsi="Arial" w:eastAsia="仿宋_GB2312"/>
          <w:sz w:val="28"/>
        </w:rPr>
        <w:t>开户银行：                   开户银行：</w:t>
      </w:r>
    </w:p>
    <w:p>
      <w:pPr>
        <w:adjustRightInd w:val="0"/>
        <w:snapToGrid w:val="0"/>
        <w:spacing w:line="500" w:lineRule="exact"/>
        <w:ind w:firstLine="645"/>
        <w:rPr>
          <w:rFonts w:ascii="仿宋_GB2312" w:hAnsi="Arial" w:eastAsia="仿宋_GB2312"/>
          <w:sz w:val="28"/>
        </w:rPr>
      </w:pPr>
      <w:r>
        <w:rPr>
          <w:rFonts w:hint="eastAsia" w:ascii="仿宋_GB2312" w:hAnsi="Arial" w:eastAsia="仿宋_GB2312"/>
          <w:sz w:val="28"/>
        </w:rPr>
        <w:t>帐    号：                   帐    号：</w:t>
      </w:r>
    </w:p>
    <w:p>
      <w:pPr>
        <w:adjustRightInd w:val="0"/>
        <w:snapToGrid w:val="0"/>
        <w:spacing w:line="500" w:lineRule="exact"/>
        <w:ind w:firstLine="645"/>
        <w:rPr>
          <w:rFonts w:ascii="宋体" w:hAnsi="宋体" w:cs="宋体"/>
          <w:kern w:val="0"/>
          <w:sz w:val="24"/>
          <w:szCs w:val="24"/>
        </w:rPr>
      </w:pPr>
      <w:r>
        <w:rPr>
          <w:rFonts w:hint="eastAsia" w:ascii="仿宋_GB2312" w:hAnsi="Arial" w:eastAsia="仿宋_GB2312"/>
          <w:sz w:val="28"/>
        </w:rPr>
        <w:t xml:space="preserve">     年   月   日               年  月  日</w:t>
      </w:r>
    </w:p>
    <w:p>
      <w:pPr>
        <w:widowControl/>
        <w:spacing w:before="100" w:beforeAutospacing="1" w:after="100" w:afterAutospacing="1" w:line="0" w:lineRule="atLeast"/>
        <w:ind w:firstLine="480" w:firstLineChars="200"/>
        <w:jc w:val="left"/>
        <w:rPr>
          <w:rFonts w:ascii="宋体" w:hAnsi="宋体" w:cs="宋体"/>
          <w:kern w:val="0"/>
          <w:sz w:val="24"/>
          <w:szCs w:val="24"/>
        </w:rPr>
        <w:sectPr>
          <w:headerReference r:id="rId5" w:type="first"/>
          <w:headerReference r:id="rId3" w:type="default"/>
          <w:footerReference r:id="rId6" w:type="default"/>
          <w:headerReference r:id="rId4" w:type="even"/>
          <w:pgSz w:w="11907" w:h="16840"/>
          <w:pgMar w:top="1440" w:right="1247" w:bottom="1440" w:left="1247" w:header="851" w:footer="992" w:gutter="0"/>
          <w:pgNumType w:start="1"/>
          <w:cols w:space="720" w:num="1"/>
          <w:docGrid w:linePitch="303" w:charSpace="0"/>
        </w:sectPr>
      </w:pPr>
    </w:p>
    <w:bookmarkEnd w:id="11"/>
    <w:bookmarkEnd w:id="13"/>
    <w:p>
      <w:pPr>
        <w:pStyle w:val="3"/>
        <w:spacing w:line="0" w:lineRule="atLeast"/>
        <w:rPr>
          <w:rFonts w:eastAsia="宋体" w:cs="Arial"/>
        </w:rPr>
      </w:pPr>
      <w:bookmarkStart w:id="14" w:name="_Toc20343"/>
      <w:r>
        <w:rPr>
          <w:rFonts w:eastAsia="宋体" w:cs="Arial"/>
          <w:szCs w:val="36"/>
        </w:rPr>
        <w:t>采购需求</w:t>
      </w:r>
      <w:bookmarkEnd w:id="12"/>
      <w:bookmarkEnd w:id="14"/>
    </w:p>
    <w:p>
      <w:pPr>
        <w:spacing w:line="0" w:lineRule="atLeast"/>
        <w:rPr>
          <w:rFonts w:ascii="Arial" w:hAnsi="Arial" w:cs="Arial"/>
          <w:sz w:val="24"/>
          <w:szCs w:val="28"/>
        </w:rPr>
      </w:pPr>
      <w:bookmarkStart w:id="15" w:name="_Hlt509716920"/>
      <w:bookmarkEnd w:id="15"/>
      <w:r>
        <w:rPr>
          <w:rFonts w:ascii="Arial" w:hAnsi="Arial" w:cs="Arial"/>
          <w:sz w:val="24"/>
          <w:szCs w:val="28"/>
        </w:rPr>
        <w:t>前注：</w:t>
      </w:r>
    </w:p>
    <w:p>
      <w:pPr>
        <w:ind w:firstLine="480" w:firstLineChars="200"/>
        <w:rPr>
          <w:sz w:val="24"/>
        </w:rPr>
      </w:pPr>
      <w:r>
        <w:rPr>
          <w:rFonts w:hint="eastAsia"/>
          <w:sz w:val="24"/>
        </w:rPr>
        <w:t>如对本招标文件有任何疑问或澄清要求，请按本招标文件“供应商须知前附表”中约定方式联系采购人或安徽鼎信项目管理股份有限公司，或接受答疑截止时间前联系采购人，否则视同理解和接受，开标后采购人或安徽鼎信项目管理股份有限公司不再受理对招标文件条款提出的质疑。</w:t>
      </w:r>
    </w:p>
    <w:p>
      <w:pPr>
        <w:rPr>
          <w:sz w:val="24"/>
        </w:rPr>
      </w:pPr>
    </w:p>
    <w:p>
      <w:pPr>
        <w:rPr>
          <w:rFonts w:cs="Arial" w:asciiTheme="minorEastAsia" w:hAnsiTheme="minorEastAsia" w:eastAsiaTheme="minorEastAsia"/>
          <w:b/>
          <w:bCs/>
          <w:sz w:val="28"/>
          <w:szCs w:val="28"/>
        </w:rPr>
      </w:pPr>
    </w:p>
    <w:p>
      <w:pPr>
        <w:spacing w:line="360" w:lineRule="auto"/>
        <w:rPr>
          <w:rFonts w:ascii="宋体" w:hAnsi="宋体" w:cs="黑体"/>
          <w:b/>
          <w:sz w:val="24"/>
          <w:szCs w:val="24"/>
        </w:rPr>
      </w:pPr>
      <w:r>
        <w:rPr>
          <w:rFonts w:hint="eastAsia" w:ascii="宋体" w:hAnsi="宋体" w:cs="黑体"/>
          <w:b/>
          <w:sz w:val="24"/>
          <w:szCs w:val="24"/>
        </w:rPr>
        <w:t>一、项目概况</w:t>
      </w:r>
    </w:p>
    <w:p>
      <w:pPr>
        <w:adjustRightInd w:val="0"/>
        <w:snapToGrid w:val="0"/>
        <w:spacing w:line="360" w:lineRule="auto"/>
        <w:ind w:firstLine="480" w:firstLineChars="200"/>
        <w:rPr>
          <w:b/>
          <w:bCs/>
          <w:sz w:val="24"/>
        </w:rPr>
      </w:pPr>
      <w:r>
        <w:rPr>
          <w:rFonts w:hint="eastAsia"/>
          <w:sz w:val="24"/>
        </w:rPr>
        <w:t>池州学院位于安徽省池州市境内，</w:t>
      </w:r>
      <w:r>
        <w:rPr>
          <w:rFonts w:hint="eastAsia" w:ascii="宋体" w:hAnsi="宋体" w:cs="宋体"/>
          <w:sz w:val="24"/>
          <w:szCs w:val="24"/>
        </w:rPr>
        <w:t>是一所全日制二本院校，在校生规模约15000人</w:t>
      </w:r>
      <w:r>
        <w:rPr>
          <w:rFonts w:hint="eastAsia"/>
          <w:sz w:val="24"/>
        </w:rPr>
        <w:t>。</w:t>
      </w:r>
      <w:r>
        <w:rPr>
          <w:rFonts w:hint="eastAsia" w:ascii="宋体" w:hAnsi="宋体" w:cs="宋体"/>
          <w:sz w:val="24"/>
          <w:szCs w:val="24"/>
        </w:rPr>
        <w:t>学校现有四个食堂,本次招标将四个食堂分为四个包进行公开招标。</w:t>
      </w:r>
      <w:r>
        <w:rPr>
          <w:rFonts w:hint="eastAsia" w:ascii="宋体" w:hAnsi="宋体" w:cs="宋体"/>
          <w:sz w:val="24"/>
          <w:szCs w:val="18"/>
        </w:rPr>
        <w:t>供应商选择一个或多个包进行投标，并且最多可以作为其中一个包的第一中标候选人。例如投标供应商为第一包的第一中标候选人，可以参与后续包件的投标和评审，但不得作为后续包的中标候选人，以此类推。本项目评标、定标按1、2、3、4包的顺序进行。</w:t>
      </w:r>
    </w:p>
    <w:p>
      <w:pPr>
        <w:spacing w:line="360" w:lineRule="auto"/>
        <w:ind w:firstLine="480" w:firstLineChars="200"/>
        <w:rPr>
          <w:rFonts w:ascii="宋体" w:hAnsi="宋体" w:cs="宋体"/>
          <w:sz w:val="24"/>
          <w:szCs w:val="24"/>
        </w:rPr>
      </w:pPr>
      <w:r>
        <w:rPr>
          <w:rFonts w:hint="eastAsia" w:ascii="宋体" w:hAnsi="宋体" w:cs="宋体"/>
          <w:sz w:val="24"/>
          <w:szCs w:val="24"/>
        </w:rPr>
        <w:t>第一包为一食堂，位于女生7号宿舍楼南面食堂第一层，前后场面积约2903平米，前厅面积1866平米，餐厅座位数1000个。</w:t>
      </w:r>
    </w:p>
    <w:p>
      <w:pPr>
        <w:spacing w:line="360" w:lineRule="auto"/>
        <w:ind w:firstLine="480" w:firstLineChars="200"/>
        <w:rPr>
          <w:rFonts w:ascii="宋体" w:hAnsi="宋体" w:cs="宋体"/>
          <w:sz w:val="24"/>
          <w:szCs w:val="24"/>
        </w:rPr>
      </w:pPr>
      <w:r>
        <w:rPr>
          <w:rFonts w:hint="eastAsia" w:ascii="宋体" w:hAnsi="宋体" w:cs="宋体"/>
          <w:sz w:val="24"/>
          <w:szCs w:val="24"/>
        </w:rPr>
        <w:t>第二包为二食堂，位于女生7号宿舍楼南面食堂第二层，内部清真窗口位于西南角。前后场面积约2903平米，前厅面积1866平米，餐厅座位数1000个。</w:t>
      </w:r>
    </w:p>
    <w:p>
      <w:pPr>
        <w:spacing w:line="360" w:lineRule="auto"/>
        <w:ind w:firstLine="480" w:firstLineChars="200"/>
        <w:rPr>
          <w:rFonts w:ascii="宋体" w:hAnsi="宋体" w:cs="宋体"/>
          <w:sz w:val="24"/>
          <w:szCs w:val="24"/>
        </w:rPr>
      </w:pPr>
      <w:r>
        <w:rPr>
          <w:rFonts w:hint="eastAsia" w:ascii="宋体" w:hAnsi="宋体" w:cs="宋体"/>
          <w:sz w:val="24"/>
          <w:szCs w:val="24"/>
        </w:rPr>
        <w:t>第三包为三食堂，位于女生14号宿舍楼南面食堂第一层的学生食堂和第三层的教工食堂，其中第一层前后场面积约2217平米，前厅面积1284平米，餐厅座位数800个；第三层面积约2000平米，主要提供桌饭和教工就餐，有五个包厢和一个教工就餐大厅（可同时容纳200人左右就餐）；</w:t>
      </w:r>
    </w:p>
    <w:p>
      <w:pPr>
        <w:spacing w:line="360" w:lineRule="auto"/>
        <w:ind w:firstLine="480" w:firstLineChars="200"/>
        <w:rPr>
          <w:rFonts w:ascii="宋体" w:hAnsi="宋体" w:cs="宋体"/>
          <w:sz w:val="24"/>
          <w:szCs w:val="24"/>
        </w:rPr>
      </w:pPr>
      <w:r>
        <w:rPr>
          <w:rFonts w:hint="eastAsia" w:ascii="宋体" w:hAnsi="宋体" w:cs="宋体"/>
          <w:sz w:val="24"/>
          <w:szCs w:val="24"/>
        </w:rPr>
        <w:t>第四包为四食堂，位于女生14号宿舍楼南面食堂第二层，前后场面积约1988平米，前厅面积1058平米，餐厅座位数620个。</w:t>
      </w:r>
    </w:p>
    <w:p>
      <w:pPr>
        <w:adjustRightInd w:val="0"/>
        <w:snapToGrid w:val="0"/>
        <w:spacing w:line="360" w:lineRule="auto"/>
        <w:ind w:firstLine="480" w:firstLineChars="200"/>
        <w:rPr>
          <w:sz w:val="24"/>
        </w:rPr>
      </w:pPr>
      <w:r>
        <w:rPr>
          <w:rFonts w:hint="eastAsia"/>
          <w:sz w:val="24"/>
        </w:rPr>
        <w:t>每个食堂配备了主要炊具设备、餐桌、校园卡消费结算终端机等，中标供应商因经营需要添加或更换现有设备，费用自理，且不得破坏食堂现有格局。服务期满后，中标供应商须确保将原有设备完好的交付给学校。</w:t>
      </w:r>
    </w:p>
    <w:p>
      <w:pPr>
        <w:adjustRightInd w:val="0"/>
        <w:snapToGrid w:val="0"/>
        <w:spacing w:line="360" w:lineRule="auto"/>
        <w:ind w:firstLine="480" w:firstLineChars="200"/>
        <w:rPr>
          <w:sz w:val="24"/>
        </w:rPr>
      </w:pPr>
      <w:r>
        <w:rPr>
          <w:rFonts w:hint="eastAsia"/>
          <w:sz w:val="24"/>
        </w:rPr>
        <w:t>供应商应实地踏勘现场，以获取编制投标文件时所需资料。供应商根据自身经营情况合理报价，采购人对投标供应商由此而做出的任何推论和结论概不负责。</w:t>
      </w:r>
    </w:p>
    <w:p>
      <w:pPr>
        <w:spacing w:line="360" w:lineRule="auto"/>
        <w:rPr>
          <w:rFonts w:ascii="宋体" w:hAnsi="宋体" w:cs="宋体"/>
          <w:b/>
          <w:bCs/>
          <w:sz w:val="24"/>
          <w:szCs w:val="24"/>
        </w:rPr>
      </w:pPr>
    </w:p>
    <w:p>
      <w:pPr>
        <w:spacing w:line="360" w:lineRule="auto"/>
        <w:rPr>
          <w:rFonts w:ascii="宋体" w:hAnsi="宋体" w:cs="宋体"/>
          <w:b/>
          <w:bCs/>
          <w:sz w:val="24"/>
          <w:szCs w:val="24"/>
        </w:rPr>
      </w:pPr>
      <w:r>
        <w:rPr>
          <w:rFonts w:hint="eastAsia" w:ascii="宋体" w:hAnsi="宋体" w:cs="宋体"/>
          <w:b/>
          <w:bCs/>
          <w:sz w:val="24"/>
          <w:szCs w:val="24"/>
        </w:rPr>
        <w:t>二、相关费用</w:t>
      </w:r>
    </w:p>
    <w:p>
      <w:pPr>
        <w:spacing w:line="360" w:lineRule="auto"/>
        <w:ind w:firstLine="480" w:firstLineChars="200"/>
        <w:rPr>
          <w:rFonts w:ascii="宋体" w:hAnsi="宋体" w:cs="宋体"/>
          <w:sz w:val="24"/>
          <w:szCs w:val="24"/>
        </w:rPr>
      </w:pPr>
      <w:r>
        <w:rPr>
          <w:rFonts w:hint="eastAsia" w:ascii="宋体" w:hAnsi="宋体" w:cs="宋体"/>
          <w:sz w:val="24"/>
          <w:szCs w:val="24"/>
        </w:rPr>
        <w:t>1、根据教发〔2011〕7号文件精神，我校食堂经营实行“零租赁”，免收管理费。</w:t>
      </w:r>
    </w:p>
    <w:p>
      <w:pPr>
        <w:spacing w:line="360" w:lineRule="auto"/>
        <w:ind w:firstLine="480" w:firstLineChars="200"/>
        <w:rPr>
          <w:rFonts w:ascii="宋体" w:hAnsi="宋体" w:cs="宋体"/>
          <w:sz w:val="24"/>
          <w:szCs w:val="24"/>
        </w:rPr>
      </w:pPr>
      <w:r>
        <w:rPr>
          <w:rFonts w:hint="eastAsia" w:ascii="宋体" w:hAnsi="宋体" w:cs="宋体"/>
          <w:sz w:val="24"/>
          <w:szCs w:val="24"/>
        </w:rPr>
        <w:t>2、中标供应商须按照招标文件约定向采购人缴纳履约保证金，履约保证金在合同履约期结束后扣除罚款或违约金（如有）后无息退还。</w:t>
      </w:r>
    </w:p>
    <w:p>
      <w:pPr>
        <w:spacing w:line="360" w:lineRule="auto"/>
        <w:ind w:firstLine="480" w:firstLineChars="200"/>
        <w:rPr>
          <w:rFonts w:ascii="宋体" w:hAnsi="宋体" w:cs="宋体"/>
          <w:sz w:val="24"/>
          <w:szCs w:val="24"/>
        </w:rPr>
      </w:pPr>
      <w:r>
        <w:rPr>
          <w:rFonts w:hint="eastAsia" w:ascii="宋体" w:hAnsi="宋体" w:cs="宋体"/>
          <w:sz w:val="24"/>
          <w:szCs w:val="24"/>
        </w:rPr>
        <w:t>3、中标供应商须根据《中华人民共和国食品安全法》等法律法规的相关政策精神，购买食品安全责任保险。</w:t>
      </w:r>
    </w:p>
    <w:p>
      <w:pPr>
        <w:spacing w:line="360" w:lineRule="auto"/>
        <w:ind w:firstLine="480" w:firstLineChars="200"/>
        <w:rPr>
          <w:rFonts w:ascii="宋体" w:hAnsi="宋体" w:cs="宋体"/>
          <w:sz w:val="24"/>
          <w:szCs w:val="24"/>
        </w:rPr>
      </w:pPr>
      <w:r>
        <w:rPr>
          <w:rFonts w:hint="eastAsia" w:ascii="宋体" w:hAnsi="宋体" w:cs="宋体"/>
          <w:sz w:val="24"/>
          <w:szCs w:val="24"/>
        </w:rPr>
        <w:t>4、中标供应商经营所产生的水、电费用按表计量，按照居民用水用电价格由归口管理部门在每月营业额费用结算中代扣；燃气费用由中标供应商自行预购使用；垃圾处理费用按照500元/月在每月营业额费用结算中代扣。</w:t>
      </w:r>
    </w:p>
    <w:p>
      <w:pPr>
        <w:spacing w:line="360" w:lineRule="auto"/>
        <w:ind w:firstLine="480" w:firstLineChars="200"/>
        <w:rPr>
          <w:rFonts w:ascii="宋体" w:hAnsi="宋体" w:cs="宋体"/>
          <w:color w:val="0909F5"/>
          <w:sz w:val="24"/>
          <w:szCs w:val="24"/>
        </w:rPr>
      </w:pPr>
      <w:r>
        <w:rPr>
          <w:rFonts w:hint="eastAsia" w:ascii="宋体" w:hAnsi="宋体" w:cs="宋体"/>
          <w:color w:val="0909F5"/>
          <w:sz w:val="24"/>
          <w:szCs w:val="24"/>
        </w:rPr>
        <w:t>5、各食堂内经营活动须无条件服从校方有关部门的管理。</w:t>
      </w:r>
    </w:p>
    <w:p>
      <w:pPr>
        <w:spacing w:line="360" w:lineRule="auto"/>
        <w:ind w:firstLine="480" w:firstLineChars="200"/>
        <w:rPr>
          <w:rFonts w:ascii="宋体" w:hAnsi="宋体" w:cs="宋体"/>
          <w:sz w:val="24"/>
          <w:szCs w:val="24"/>
        </w:rPr>
      </w:pPr>
      <w:r>
        <w:rPr>
          <w:rFonts w:hint="eastAsia" w:ascii="宋体" w:hAnsi="宋体" w:cs="宋体"/>
          <w:sz w:val="24"/>
          <w:szCs w:val="24"/>
        </w:rPr>
        <w:t>6、投标供应商须承诺中标后将根据营业额按照</w:t>
      </w:r>
      <w:r>
        <w:rPr>
          <w:rFonts w:hint="eastAsia" w:ascii="宋体" w:hAnsi="宋体" w:cs="宋体"/>
          <w:color w:val="0909F5"/>
          <w:sz w:val="24"/>
          <w:szCs w:val="24"/>
        </w:rPr>
        <w:t>一定的百分比（最高不超过5%）</w:t>
      </w:r>
      <w:r>
        <w:rPr>
          <w:rFonts w:hint="eastAsia" w:ascii="宋体" w:hAnsi="宋体" w:cs="宋体"/>
          <w:sz w:val="24"/>
          <w:szCs w:val="24"/>
        </w:rPr>
        <w:t>提取设立捐献基金（教工食堂教职工刷卡2元部分不予提取）。捐献基金50%用于月度和年度考评奖励，20%用于贫困学生资助，30%用于改善就餐环境、食堂公共设施维修。同时各食堂营业额因地理位置不同，其保底经营额度不同，其中一食堂月营业额为70万元人民币；二食堂为50万元；三食堂（一楼学生食堂）为50万元；四食堂为30万元。</w:t>
      </w:r>
    </w:p>
    <w:p>
      <w:pPr>
        <w:spacing w:line="360" w:lineRule="auto"/>
        <w:ind w:firstLine="480" w:firstLineChars="200"/>
        <w:rPr>
          <w:rFonts w:ascii="宋体" w:hAnsi="宋体" w:cs="宋体"/>
          <w:sz w:val="24"/>
          <w:szCs w:val="24"/>
        </w:rPr>
      </w:pPr>
      <w:r>
        <w:rPr>
          <w:rFonts w:hint="eastAsia" w:ascii="宋体" w:hAnsi="宋体" w:cs="宋体"/>
          <w:sz w:val="24"/>
          <w:szCs w:val="24"/>
        </w:rPr>
        <w:t>7、为鼓励竞争，更好地创建特色餐饮，对达不到保底经营额度的食堂将依照保底经营额度按月提取捐献基金。</w:t>
      </w:r>
    </w:p>
    <w:p>
      <w:pPr>
        <w:spacing w:line="360" w:lineRule="auto"/>
        <w:ind w:firstLine="480" w:firstLineChars="200"/>
        <w:rPr>
          <w:rFonts w:ascii="宋体" w:hAnsi="宋体" w:cs="宋体"/>
          <w:sz w:val="24"/>
          <w:szCs w:val="24"/>
        </w:rPr>
      </w:pPr>
      <w:r>
        <w:rPr>
          <w:rFonts w:hint="eastAsia" w:ascii="宋体" w:hAnsi="宋体" w:cs="宋体"/>
          <w:sz w:val="24"/>
          <w:szCs w:val="24"/>
        </w:rPr>
        <w:t>8、投标供应商须承诺中标后在规定时间内通过池州市或贵池区食品药品监督管理部门颁发认定的“餐饮服务食品安全A级”食堂。在承诺时间内，如未完成创建A级食堂，采购人将从其履约保证金中扣除人民币20万元，列入上述捐献基金统一管理使用。</w:t>
      </w:r>
    </w:p>
    <w:p>
      <w:pPr>
        <w:spacing w:line="360" w:lineRule="auto"/>
        <w:ind w:firstLine="480" w:firstLineChars="200"/>
        <w:rPr>
          <w:rFonts w:ascii="宋体" w:hAnsi="宋体" w:cs="宋体"/>
          <w:sz w:val="24"/>
          <w:szCs w:val="24"/>
        </w:rPr>
      </w:pPr>
      <w:r>
        <w:rPr>
          <w:rFonts w:hint="eastAsia" w:ascii="宋体" w:hAnsi="宋体" w:cs="宋体"/>
          <w:sz w:val="24"/>
          <w:szCs w:val="24"/>
        </w:rPr>
        <w:t>9、归口管理部门日常监管中依据相关制度做出的扣罚金将纳入捐献基金统一管理使用。</w:t>
      </w:r>
    </w:p>
    <w:p>
      <w:pPr>
        <w:spacing w:line="360" w:lineRule="auto"/>
        <w:rPr>
          <w:rFonts w:ascii="宋体" w:hAnsi="宋体" w:cs="宋体"/>
          <w:b/>
          <w:bCs/>
          <w:sz w:val="24"/>
          <w:szCs w:val="24"/>
        </w:rPr>
      </w:pPr>
    </w:p>
    <w:p>
      <w:pPr>
        <w:spacing w:line="360" w:lineRule="auto"/>
        <w:rPr>
          <w:rFonts w:ascii="宋体" w:hAnsi="宋体" w:cs="宋体"/>
          <w:b/>
          <w:bCs/>
          <w:sz w:val="24"/>
          <w:szCs w:val="24"/>
        </w:rPr>
      </w:pPr>
      <w:r>
        <w:rPr>
          <w:rFonts w:hint="eastAsia" w:ascii="宋体" w:hAnsi="宋体" w:cs="宋体"/>
          <w:b/>
          <w:bCs/>
          <w:sz w:val="24"/>
          <w:szCs w:val="24"/>
        </w:rPr>
        <w:t>三、食堂管理要求</w:t>
      </w:r>
    </w:p>
    <w:p>
      <w:pPr>
        <w:spacing w:line="360" w:lineRule="auto"/>
        <w:ind w:firstLine="480" w:firstLineChars="200"/>
        <w:rPr>
          <w:rFonts w:ascii="宋体" w:hAnsi="宋体" w:cs="宋体"/>
          <w:sz w:val="24"/>
          <w:szCs w:val="24"/>
        </w:rPr>
      </w:pPr>
      <w:r>
        <w:rPr>
          <w:rFonts w:hint="eastAsia" w:ascii="宋体" w:hAnsi="宋体" w:cs="宋体"/>
          <w:sz w:val="24"/>
          <w:szCs w:val="24"/>
        </w:rPr>
        <w:t>1、池州学院学校饮食保障工作是重中之重，中标供应商在经营管理餐饮服务中自主经营，自负盈亏。</w:t>
      </w:r>
    </w:p>
    <w:p>
      <w:pPr>
        <w:spacing w:line="360" w:lineRule="auto"/>
        <w:ind w:firstLine="480" w:firstLineChars="200"/>
        <w:rPr>
          <w:rFonts w:ascii="宋体" w:hAnsi="宋体" w:cs="宋体"/>
          <w:sz w:val="24"/>
          <w:szCs w:val="24"/>
        </w:rPr>
      </w:pPr>
      <w:r>
        <w:rPr>
          <w:rFonts w:hint="eastAsia" w:ascii="宋体" w:hAnsi="宋体" w:cs="宋体"/>
          <w:sz w:val="24"/>
          <w:szCs w:val="24"/>
        </w:rPr>
        <w:t>2、采购人对中标供应商组建的餐饮服务机构进行业务归口管理，同时遵守相关国家和地方的食品法律法规及池州学院相关制度。</w:t>
      </w:r>
    </w:p>
    <w:p>
      <w:pPr>
        <w:spacing w:line="360" w:lineRule="auto"/>
        <w:ind w:firstLine="480" w:firstLineChars="200"/>
        <w:rPr>
          <w:rFonts w:ascii="宋体" w:hAnsi="宋体" w:cs="宋体"/>
          <w:sz w:val="24"/>
          <w:szCs w:val="24"/>
        </w:rPr>
      </w:pPr>
      <w:r>
        <w:rPr>
          <w:rFonts w:hint="eastAsia" w:ascii="宋体" w:hAnsi="宋体" w:cs="宋体"/>
          <w:sz w:val="24"/>
          <w:szCs w:val="24"/>
        </w:rPr>
        <w:t>3、中标供应商应确保所录用人员政治过硬，无犯罪记录，身体健康，持有上岗证。池州学院后勤管理与基建处对中标供应商所委托的具有考核监督权。</w:t>
      </w:r>
    </w:p>
    <w:p>
      <w:pPr>
        <w:spacing w:line="360" w:lineRule="auto"/>
        <w:ind w:firstLine="480" w:firstLineChars="200"/>
        <w:rPr>
          <w:rFonts w:ascii="宋体" w:hAnsi="宋体" w:cs="宋体"/>
          <w:sz w:val="24"/>
          <w:szCs w:val="24"/>
        </w:rPr>
      </w:pPr>
      <w:r>
        <w:rPr>
          <w:rFonts w:hint="eastAsia" w:ascii="宋体" w:hAnsi="宋体" w:cs="宋体"/>
          <w:sz w:val="24"/>
          <w:szCs w:val="24"/>
        </w:rPr>
        <w:t>中标供应商对投标文件指定的食堂项目经理应书面授权，合同签订前提交授权文件原件。食堂项目经理应常驻学校负责本项目直至合同期满。确因合理理由需要更换食堂经理的，应事先书面征得学校后勤管理部门同意后方可调整，但不得在学期中途更换。</w:t>
      </w:r>
    </w:p>
    <w:p>
      <w:pPr>
        <w:spacing w:line="360" w:lineRule="auto"/>
        <w:ind w:firstLine="480" w:firstLineChars="200"/>
        <w:rPr>
          <w:rFonts w:ascii="宋体" w:hAnsi="宋体" w:cs="宋体"/>
          <w:sz w:val="24"/>
          <w:szCs w:val="24"/>
        </w:rPr>
      </w:pPr>
      <w:r>
        <w:rPr>
          <w:rFonts w:hint="eastAsia" w:ascii="宋体" w:hAnsi="宋体" w:cs="宋体"/>
          <w:sz w:val="24"/>
          <w:szCs w:val="24"/>
        </w:rPr>
        <w:t>4、中标供应商要有应急处理突发事件的具体措施，在出现紧急情况，餐饮管理部门对中标企业的人员具有直接指挥权。</w:t>
      </w:r>
    </w:p>
    <w:p>
      <w:pPr>
        <w:spacing w:line="360" w:lineRule="auto"/>
        <w:ind w:firstLine="480" w:firstLineChars="200"/>
        <w:rPr>
          <w:rFonts w:ascii="宋体" w:hAnsi="宋体" w:cs="宋体"/>
          <w:sz w:val="24"/>
          <w:szCs w:val="24"/>
        </w:rPr>
      </w:pPr>
      <w:r>
        <w:rPr>
          <w:rFonts w:hint="eastAsia" w:ascii="宋体" w:hAnsi="宋体" w:cs="宋体"/>
          <w:sz w:val="24"/>
          <w:szCs w:val="24"/>
        </w:rPr>
        <w:t>5、中标供应商进场服务，所有人员须统一着装，言行规范，要注意仪容仪表，树立企业形象。</w:t>
      </w:r>
    </w:p>
    <w:p>
      <w:pPr>
        <w:spacing w:line="360" w:lineRule="auto"/>
        <w:ind w:firstLine="480" w:firstLineChars="200"/>
        <w:rPr>
          <w:rFonts w:ascii="宋体" w:hAnsi="宋体" w:cs="宋体"/>
          <w:sz w:val="24"/>
          <w:szCs w:val="24"/>
        </w:rPr>
      </w:pPr>
      <w:r>
        <w:rPr>
          <w:rFonts w:hint="eastAsia" w:ascii="宋体" w:hAnsi="宋体" w:cs="宋体"/>
          <w:sz w:val="24"/>
          <w:szCs w:val="24"/>
        </w:rPr>
        <w:t>6、中标供应商在餐饮服务保障中，要有环保及资源节约具体措施，不得使用非降解饭盒、一次性筷子等产品。</w:t>
      </w:r>
    </w:p>
    <w:p>
      <w:pPr>
        <w:spacing w:line="360" w:lineRule="auto"/>
        <w:ind w:firstLine="480" w:firstLineChars="200"/>
        <w:rPr>
          <w:rFonts w:ascii="宋体" w:hAnsi="宋体" w:cs="宋体"/>
          <w:sz w:val="24"/>
          <w:szCs w:val="24"/>
        </w:rPr>
      </w:pPr>
      <w:r>
        <w:rPr>
          <w:rFonts w:hint="eastAsia" w:ascii="宋体" w:hAnsi="宋体" w:cs="宋体"/>
          <w:sz w:val="24"/>
          <w:szCs w:val="24"/>
        </w:rPr>
        <w:t>7、中标供应商应依照投标文件及签约合同要求，承诺打造特色“主题餐厅”，创建独特饮食文化，提供特色饮食。</w:t>
      </w:r>
    </w:p>
    <w:p>
      <w:pPr>
        <w:spacing w:line="360" w:lineRule="auto"/>
        <w:ind w:firstLine="480" w:firstLineChars="200"/>
        <w:rPr>
          <w:rFonts w:ascii="宋体" w:hAnsi="宋体" w:cs="宋体"/>
          <w:sz w:val="24"/>
          <w:szCs w:val="24"/>
        </w:rPr>
      </w:pPr>
      <w:r>
        <w:rPr>
          <w:rFonts w:hint="eastAsia" w:ascii="宋体" w:hAnsi="宋体" w:cs="宋体"/>
          <w:sz w:val="24"/>
          <w:szCs w:val="24"/>
        </w:rPr>
        <w:t>8、中标供应商在经营管理中应采用“6T”管理模式，即天天处理，天天整合，天天清扫，天天规范，天天检查，天天改进。</w:t>
      </w:r>
    </w:p>
    <w:p>
      <w:pPr>
        <w:spacing w:line="360" w:lineRule="auto"/>
        <w:ind w:firstLine="480" w:firstLineChars="200"/>
        <w:rPr>
          <w:rFonts w:ascii="宋体" w:hAnsi="宋体" w:cs="宋体"/>
          <w:sz w:val="24"/>
          <w:szCs w:val="24"/>
        </w:rPr>
      </w:pPr>
      <w:r>
        <w:rPr>
          <w:rFonts w:hint="eastAsia" w:ascii="宋体" w:hAnsi="宋体" w:cs="宋体"/>
          <w:sz w:val="24"/>
          <w:szCs w:val="24"/>
        </w:rPr>
        <w:t>9、中标供应商在特色窗口经营中应响应党和政府号召，尽可能开放精准扶贫窗口。</w:t>
      </w:r>
    </w:p>
    <w:p>
      <w:pPr>
        <w:spacing w:line="360" w:lineRule="auto"/>
        <w:ind w:firstLine="480" w:firstLineChars="200"/>
        <w:rPr>
          <w:rFonts w:ascii="宋体" w:hAnsi="宋体" w:cs="宋体"/>
          <w:sz w:val="24"/>
          <w:szCs w:val="24"/>
        </w:rPr>
      </w:pPr>
      <w:r>
        <w:rPr>
          <w:rFonts w:hint="eastAsia" w:ascii="宋体" w:hAnsi="宋体" w:cs="宋体"/>
          <w:sz w:val="24"/>
          <w:szCs w:val="24"/>
        </w:rPr>
        <w:t>10、中标供应商在保证大伙供应的基础上，引入特色窗口的，应避免产生合同纠纷，否则当月考核酌情扣分。</w:t>
      </w:r>
    </w:p>
    <w:p>
      <w:pPr>
        <w:spacing w:line="360" w:lineRule="auto"/>
        <w:ind w:firstLine="480" w:firstLineChars="200"/>
        <w:rPr>
          <w:rFonts w:ascii="宋体" w:hAnsi="宋体" w:cs="宋体"/>
          <w:sz w:val="24"/>
          <w:szCs w:val="24"/>
        </w:rPr>
      </w:pPr>
      <w:r>
        <w:rPr>
          <w:rFonts w:hint="eastAsia" w:ascii="宋体" w:hAnsi="宋体" w:cs="宋体"/>
          <w:sz w:val="24"/>
          <w:szCs w:val="24"/>
        </w:rPr>
        <w:t>11、校方负责所有固定资产（列清单）按现状移交给中标供应商使用和管理，中标供应商接手后一周内若发现设备设施存在故障或隐患，可申请校方予以维修，此后的使用过程中发生的机械、电器及餐桌椅的维护保养由中标供应商负责。中标供应商经营期满后，应及时按移交清单完好地归还给校方，如有损坏由中标供应商负责维修或按价赔偿。</w:t>
      </w:r>
    </w:p>
    <w:p>
      <w:pPr>
        <w:spacing w:line="360" w:lineRule="auto"/>
        <w:ind w:firstLine="480" w:firstLineChars="200"/>
        <w:rPr>
          <w:rFonts w:ascii="宋体" w:hAnsi="宋体" w:cs="宋体"/>
          <w:sz w:val="24"/>
          <w:szCs w:val="24"/>
        </w:rPr>
      </w:pPr>
      <w:r>
        <w:rPr>
          <w:rFonts w:hint="eastAsia" w:ascii="宋体" w:hAnsi="宋体" w:cs="宋体"/>
          <w:sz w:val="24"/>
          <w:szCs w:val="24"/>
        </w:rPr>
        <w:t>12、中标供应商在经营期间，除校方现有施舍外所需的一切设备、设施、物品及装饰装修改造，均由中标供应商自行承担，校方不再另行支付任何费用。经营期满后，若中标供应商在合同到期之日起五日内按移交清单将处于正常使用状态的全部设备设施完好的移交给校方，中标供应商所有工作人员以及经营期间中标供应商自行添置的可移动设备设施在不破坏食堂布局和功能的情况下可撤出场地，其履约保证金可正常退还；逾期10日内每日按5000元人民币扣除中标供应商违约金；逾期超过10日，按履约保证金全额扣除中标供应商违约金，同时校方有权单方面强制清场，由此造成的一切损失由中标供应商承担。</w:t>
      </w:r>
    </w:p>
    <w:p>
      <w:pPr>
        <w:spacing w:line="360" w:lineRule="auto"/>
        <w:ind w:firstLine="480" w:firstLineChars="200"/>
        <w:rPr>
          <w:rFonts w:ascii="宋体" w:hAnsi="宋体" w:cs="宋体"/>
          <w:sz w:val="24"/>
          <w:szCs w:val="24"/>
        </w:rPr>
      </w:pPr>
      <w:r>
        <w:rPr>
          <w:rFonts w:hint="eastAsia" w:ascii="宋体" w:hAnsi="宋体" w:cs="宋体"/>
          <w:sz w:val="24"/>
          <w:szCs w:val="24"/>
        </w:rPr>
        <w:t>13、中标供应商应遵守池州学院相关制度，如《池州学院社会餐饮企业监督及奖惩管理办法》、《池州学院社会餐饮企业师生满意度测评实施办法（试行）》等。</w:t>
      </w:r>
    </w:p>
    <w:p>
      <w:pPr>
        <w:spacing w:line="360" w:lineRule="auto"/>
        <w:ind w:firstLine="480" w:firstLineChars="200"/>
        <w:rPr>
          <w:rFonts w:ascii="宋体" w:hAnsi="宋体" w:cs="宋体"/>
          <w:sz w:val="24"/>
          <w:szCs w:val="24"/>
        </w:rPr>
      </w:pPr>
      <w:r>
        <w:rPr>
          <w:rFonts w:hint="eastAsia" w:ascii="宋体" w:hAnsi="宋体" w:cs="宋体"/>
          <w:sz w:val="24"/>
          <w:szCs w:val="24"/>
        </w:rPr>
        <w:t>14、中标供应商应全力配合池州学院完成后勤信息化工作，共同打造智慧后勤、数据后勤、绿色后勤、质量后勤、活力后勤、人文后勤。</w:t>
      </w:r>
    </w:p>
    <w:p>
      <w:pPr>
        <w:adjustRightInd w:val="0"/>
        <w:snapToGrid w:val="0"/>
        <w:spacing w:line="360" w:lineRule="auto"/>
        <w:ind w:firstLine="480" w:firstLineChars="200"/>
        <w:rPr>
          <w:sz w:val="24"/>
        </w:rPr>
      </w:pPr>
      <w:r>
        <w:rPr>
          <w:rFonts w:hint="eastAsia" w:ascii="宋体" w:hAnsi="宋体" w:cs="宋体"/>
          <w:sz w:val="24"/>
          <w:szCs w:val="24"/>
        </w:rPr>
        <w:t>15、</w:t>
      </w:r>
      <w:r>
        <w:rPr>
          <w:rFonts w:hint="eastAsia"/>
          <w:sz w:val="24"/>
        </w:rPr>
        <w:t>中标供应商必须按时、足量、保质提供膳食服务，不得随意涨价。确因原材料大幅涨价或其他原因需要上调饭菜价格的，需提出书面申请并说明充分理由，经学校同意方可执行。未履行规定程序擅自涨价的，将被视为严重违约，学校有权解除合同，并追究其违约责任。</w:t>
      </w:r>
    </w:p>
    <w:p>
      <w:pPr>
        <w:adjustRightInd w:val="0"/>
        <w:snapToGrid w:val="0"/>
        <w:spacing w:line="360" w:lineRule="auto"/>
        <w:ind w:firstLine="480" w:firstLineChars="200"/>
        <w:rPr>
          <w:sz w:val="24"/>
        </w:rPr>
      </w:pPr>
      <w:r>
        <w:rPr>
          <w:rFonts w:hint="eastAsia"/>
          <w:sz w:val="24"/>
        </w:rPr>
        <w:t>16、中标</w:t>
      </w:r>
      <w:r>
        <w:rPr>
          <w:rFonts w:hint="eastAsia" w:ascii="宋体" w:hAnsi="宋体" w:cs="宋体"/>
          <w:sz w:val="24"/>
          <w:szCs w:val="24"/>
        </w:rPr>
        <w:t>供应商</w:t>
      </w:r>
      <w:r>
        <w:rPr>
          <w:rFonts w:hint="eastAsia"/>
          <w:sz w:val="24"/>
        </w:rPr>
        <w:t>进场经营时，还需遵守安徽省高等院校餐饮行业规范标准。</w:t>
      </w:r>
    </w:p>
    <w:p>
      <w:pPr>
        <w:spacing w:line="360" w:lineRule="auto"/>
        <w:rPr>
          <w:rFonts w:ascii="宋体" w:hAnsi="宋体" w:cs="宋体"/>
          <w:b/>
          <w:bCs/>
          <w:sz w:val="24"/>
          <w:szCs w:val="24"/>
        </w:rPr>
      </w:pPr>
    </w:p>
    <w:p>
      <w:pPr>
        <w:spacing w:line="360" w:lineRule="auto"/>
        <w:rPr>
          <w:rFonts w:ascii="宋体" w:hAnsi="宋体" w:cs="宋体"/>
          <w:b/>
          <w:bCs/>
          <w:sz w:val="24"/>
          <w:szCs w:val="24"/>
        </w:rPr>
      </w:pPr>
      <w:r>
        <w:rPr>
          <w:rFonts w:hint="eastAsia" w:ascii="宋体" w:hAnsi="宋体" w:cs="宋体"/>
          <w:b/>
          <w:bCs/>
          <w:sz w:val="24"/>
          <w:szCs w:val="24"/>
        </w:rPr>
        <w:t>四、餐饮供应及服务要求</w:t>
      </w:r>
    </w:p>
    <w:p>
      <w:pPr>
        <w:spacing w:line="360" w:lineRule="auto"/>
        <w:ind w:firstLine="480" w:firstLineChars="200"/>
        <w:rPr>
          <w:rFonts w:ascii="宋体" w:hAnsi="宋体" w:cs="宋体"/>
          <w:sz w:val="24"/>
          <w:szCs w:val="24"/>
        </w:rPr>
      </w:pPr>
      <w:r>
        <w:rPr>
          <w:rFonts w:hint="eastAsia" w:ascii="宋体" w:hAnsi="宋体" w:cs="宋体"/>
          <w:sz w:val="24"/>
          <w:szCs w:val="24"/>
        </w:rPr>
        <w:t>1、学校食堂经营服务思想，必须坚持为教学、科研和师生员工服务的宗旨。在运营机制上既要遵循市场规律，更要发挥学校后勤保障性、基础性和先行性地作用。要充分考虑到大多数学生的经济消费能力，严格控制饭菜价格，提高饭菜质量，不断改善就餐环境和提高服务水平。</w:t>
      </w:r>
    </w:p>
    <w:p>
      <w:pPr>
        <w:adjustRightInd w:val="0"/>
        <w:snapToGrid w:val="0"/>
        <w:spacing w:line="360" w:lineRule="auto"/>
        <w:ind w:firstLine="480" w:firstLineChars="200"/>
        <w:rPr>
          <w:sz w:val="24"/>
        </w:rPr>
      </w:pPr>
      <w:r>
        <w:rPr>
          <w:rFonts w:hint="eastAsia"/>
          <w:sz w:val="24"/>
        </w:rPr>
        <w:t>2、学校后勤与基建处有权对食堂的食品卫生安全、饭菜质量份量价格、服务质量与服务态度等实施全方位监管。中标供应商应主动了解学校广大师生需求，虚心接受广大师生的意见和建议，不断调整食堂花色品种搭配，努力改善伙食质量，并主动采取措施保证食堂饭菜价格基本稳定。</w:t>
      </w:r>
    </w:p>
    <w:p>
      <w:pPr>
        <w:spacing w:line="360" w:lineRule="auto"/>
        <w:ind w:firstLine="480" w:firstLineChars="200"/>
        <w:rPr>
          <w:rFonts w:ascii="宋体" w:hAnsi="宋体" w:cs="宋体"/>
          <w:sz w:val="24"/>
          <w:szCs w:val="24"/>
        </w:rPr>
      </w:pPr>
      <w:r>
        <w:rPr>
          <w:rFonts w:hint="eastAsia" w:ascii="宋体" w:hAnsi="宋体" w:cs="宋体"/>
          <w:sz w:val="24"/>
          <w:szCs w:val="24"/>
        </w:rPr>
        <w:t>3、学生食堂均以基本大伙为主，兼做特色经营。对食堂实行自主经营、自负盈亏。保证主副食品花色品种不断翻新和多样化。早餐主食品种12种以上，副食5种以上；中餐主食3种以上，副食15种以上；晚餐主食10种以上，副食10种以上；保证高、中、低档各类菜肴比例为3：5：2，低价菜肴不断供。</w:t>
      </w:r>
    </w:p>
    <w:p>
      <w:pPr>
        <w:spacing w:line="360" w:lineRule="auto"/>
        <w:ind w:firstLine="480" w:firstLineChars="200"/>
        <w:rPr>
          <w:rFonts w:ascii="宋体" w:hAnsi="宋体" w:cs="宋体"/>
          <w:sz w:val="24"/>
          <w:szCs w:val="24"/>
        </w:rPr>
      </w:pPr>
      <w:r>
        <w:rPr>
          <w:rFonts w:hint="eastAsia" w:ascii="宋体" w:hAnsi="宋体" w:cs="宋体"/>
          <w:sz w:val="24"/>
          <w:szCs w:val="24"/>
        </w:rPr>
        <w:t>4、三食堂中的教工食堂因学校现在实行教工“刷2补10”的运行模式，每天中饭约300位教职工需就餐，要确保每餐至少有3个全荤和3个半荤供教职工选择，且全荤与半荤菜每周不少于10个品种，素菜品种每餐不少于4个可供选择。确保餐后免费提供时令水果，水果每位就餐教职工配给1个；每天需提供一定质量不同花样的免费汤，如青菜鸡蛋汤，要保证每公斤汤有1.5--2个鸡蛋，青菜与水比例1/8-1/10；肉丝肉片汤，要保证每公斤汤有不少于40克的肉丝或肉片等。教工食堂还同时提供学校来人招待服务。</w:t>
      </w:r>
    </w:p>
    <w:p>
      <w:pPr>
        <w:spacing w:line="360" w:lineRule="auto"/>
        <w:ind w:firstLine="480" w:firstLineChars="200"/>
        <w:rPr>
          <w:rFonts w:ascii="宋体" w:hAnsi="宋体" w:cs="宋体"/>
          <w:sz w:val="24"/>
          <w:szCs w:val="24"/>
        </w:rPr>
      </w:pPr>
      <w:r>
        <w:rPr>
          <w:rFonts w:hint="eastAsia" w:ascii="宋体" w:hAnsi="宋体" w:cs="宋体"/>
          <w:sz w:val="24"/>
          <w:szCs w:val="24"/>
        </w:rPr>
        <w:t>5、各食堂要确保根据学校工作计划和安排，服从暑期等特殊时间开伙要求。</w:t>
      </w:r>
    </w:p>
    <w:p>
      <w:pPr>
        <w:spacing w:line="360" w:lineRule="auto"/>
        <w:ind w:firstLine="480" w:firstLineChars="200"/>
        <w:rPr>
          <w:rFonts w:ascii="宋体" w:hAnsi="宋体" w:cs="宋体"/>
          <w:sz w:val="24"/>
          <w:szCs w:val="24"/>
        </w:rPr>
      </w:pPr>
      <w:r>
        <w:rPr>
          <w:rFonts w:hint="eastAsia" w:ascii="宋体" w:hAnsi="宋体" w:cs="宋体"/>
          <w:sz w:val="24"/>
          <w:szCs w:val="24"/>
        </w:rPr>
        <w:t>6、各食堂要根据相关食品安全法律法规，在当地食药监部门指导下，处理餐余泔水，并将处理方式方法在归口管理部门报备。</w:t>
      </w:r>
    </w:p>
    <w:p>
      <w:pPr>
        <w:widowControl/>
        <w:spacing w:line="360" w:lineRule="auto"/>
        <w:ind w:firstLine="480" w:firstLineChars="200"/>
        <w:jc w:val="left"/>
        <w:rPr>
          <w:rFonts w:ascii="宋体" w:hAnsi="宋体" w:cs="宋体"/>
          <w:color w:val="0909F5"/>
          <w:sz w:val="24"/>
          <w:szCs w:val="24"/>
        </w:rPr>
      </w:pPr>
      <w:r>
        <w:rPr>
          <w:rFonts w:hint="eastAsia" w:ascii="宋体" w:hAnsi="宋体" w:cs="宋体"/>
          <w:color w:val="0909F5"/>
          <w:sz w:val="24"/>
          <w:szCs w:val="24"/>
        </w:rPr>
        <w:t>7、</w:t>
      </w:r>
      <w:r>
        <w:rPr>
          <w:rFonts w:hint="eastAsia" w:ascii="宋体" w:hAnsi="宋体" w:cs="宋体"/>
          <w:color w:val="0909F5"/>
          <w:kern w:val="0"/>
          <w:sz w:val="24"/>
          <w:szCs w:val="24"/>
        </w:rPr>
        <w:t>未经</w:t>
      </w:r>
      <w:r>
        <w:rPr>
          <w:rFonts w:hint="eastAsia" w:ascii="宋体" w:hAnsi="宋体" w:cs="宋体"/>
          <w:color w:val="0909F5"/>
          <w:sz w:val="24"/>
          <w:szCs w:val="24"/>
        </w:rPr>
        <w:t>校方</w:t>
      </w:r>
      <w:r>
        <w:rPr>
          <w:rFonts w:hint="eastAsia" w:ascii="宋体" w:hAnsi="宋体" w:cs="宋体"/>
          <w:color w:val="0909F5"/>
          <w:kern w:val="0"/>
          <w:sz w:val="24"/>
          <w:szCs w:val="24"/>
        </w:rPr>
        <w:t>同意，</w:t>
      </w:r>
      <w:r>
        <w:rPr>
          <w:rFonts w:hint="eastAsia" w:ascii="宋体" w:hAnsi="宋体" w:cs="宋体"/>
          <w:color w:val="0909F5"/>
          <w:sz w:val="24"/>
          <w:szCs w:val="24"/>
        </w:rPr>
        <w:t>中标供应商不得在经营场所内开设任何形式的“店中店”。</w:t>
      </w:r>
    </w:p>
    <w:p>
      <w:pPr>
        <w:widowControl/>
        <w:spacing w:line="360" w:lineRule="auto"/>
        <w:ind w:firstLine="480" w:firstLineChars="200"/>
        <w:jc w:val="left"/>
        <w:rPr>
          <w:rFonts w:ascii="宋体" w:hAnsi="宋体" w:cs="宋体"/>
          <w:sz w:val="24"/>
          <w:szCs w:val="24"/>
        </w:rPr>
      </w:pPr>
      <w:r>
        <w:rPr>
          <w:rFonts w:hint="eastAsia" w:ascii="宋体" w:hAnsi="宋体" w:cs="宋体"/>
          <w:sz w:val="24"/>
          <w:szCs w:val="24"/>
        </w:rPr>
        <w:t>8、中标供应商在经营期间，若存在下列情况之一：</w:t>
      </w:r>
    </w:p>
    <w:p>
      <w:pPr>
        <w:widowControl/>
        <w:spacing w:line="360" w:lineRule="auto"/>
        <w:ind w:firstLine="480" w:firstLineChars="200"/>
        <w:jc w:val="left"/>
        <w:rPr>
          <w:rFonts w:ascii="宋体" w:hAnsi="宋体" w:cs="宋体"/>
          <w:sz w:val="24"/>
          <w:szCs w:val="24"/>
        </w:rPr>
      </w:pPr>
      <w:r>
        <w:rPr>
          <w:rFonts w:hint="eastAsia" w:ascii="宋体" w:hAnsi="宋体" w:cs="宋体"/>
          <w:sz w:val="24"/>
          <w:szCs w:val="24"/>
        </w:rPr>
        <w:t>①违反</w:t>
      </w:r>
      <w:r>
        <w:rPr>
          <w:rFonts w:hint="eastAsia" w:ascii="宋体" w:hAnsi="宋体" w:cs="宋体"/>
          <w:kern w:val="0"/>
          <w:sz w:val="24"/>
          <w:szCs w:val="24"/>
        </w:rPr>
        <w:t>《中华人民共和国食品安全法》</w:t>
      </w:r>
      <w:r>
        <w:rPr>
          <w:rFonts w:hint="eastAsia" w:ascii="宋体" w:hAnsi="宋体" w:cs="宋体"/>
          <w:sz w:val="24"/>
          <w:szCs w:val="24"/>
        </w:rPr>
        <w:t>等法律法规或上级有关文件规定；</w:t>
      </w:r>
    </w:p>
    <w:p>
      <w:pPr>
        <w:widowControl/>
        <w:spacing w:line="360" w:lineRule="auto"/>
        <w:ind w:firstLine="480" w:firstLineChars="200"/>
        <w:jc w:val="left"/>
        <w:rPr>
          <w:rFonts w:ascii="宋体" w:hAnsi="宋体" w:cs="宋体"/>
          <w:kern w:val="0"/>
          <w:sz w:val="24"/>
          <w:szCs w:val="24"/>
        </w:rPr>
      </w:pPr>
      <w:r>
        <w:rPr>
          <w:rFonts w:hint="eastAsia" w:ascii="宋体" w:hAnsi="宋体" w:cs="宋体"/>
          <w:sz w:val="24"/>
          <w:szCs w:val="24"/>
        </w:rPr>
        <w:t>②严重违反校方相关规章制度和管理规定；</w:t>
      </w:r>
    </w:p>
    <w:p>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③合同期内，非不可抗力情况下连续不正常营业时间超过2日，或累计不正常营业时间超过7日；</w:t>
      </w:r>
    </w:p>
    <w:p>
      <w:pPr>
        <w:widowControl/>
        <w:spacing w:line="360" w:lineRule="auto"/>
        <w:ind w:firstLine="480" w:firstLineChars="200"/>
        <w:jc w:val="left"/>
        <w:rPr>
          <w:rFonts w:ascii="宋体" w:hAnsi="宋体" w:cs="宋体"/>
          <w:sz w:val="24"/>
          <w:szCs w:val="24"/>
        </w:rPr>
      </w:pPr>
      <w:r>
        <w:rPr>
          <w:rFonts w:hint="eastAsia" w:ascii="宋体" w:hAnsi="宋体" w:cs="宋体"/>
          <w:kern w:val="0"/>
          <w:sz w:val="24"/>
          <w:szCs w:val="24"/>
        </w:rPr>
        <w:t>④委托经营期间，中标供应商必须独立经营，不得将食堂经营项目整体或部分转让他人，或将部分窗口租赁经营。</w:t>
      </w:r>
    </w:p>
    <w:p>
      <w:pPr>
        <w:widowControl/>
        <w:spacing w:line="360" w:lineRule="auto"/>
        <w:ind w:firstLine="480" w:firstLineChars="200"/>
        <w:jc w:val="left"/>
        <w:rPr>
          <w:rFonts w:ascii="宋体" w:hAnsi="宋体" w:cs="宋体"/>
          <w:sz w:val="24"/>
          <w:szCs w:val="24"/>
        </w:rPr>
      </w:pPr>
      <w:r>
        <w:rPr>
          <w:rFonts w:hint="eastAsia" w:ascii="宋体" w:hAnsi="宋体" w:cs="宋体"/>
          <w:sz w:val="24"/>
          <w:szCs w:val="24"/>
        </w:rPr>
        <w:t>⑤发生食品卫生安全事故或出现消防安全责任事故的；</w:t>
      </w:r>
    </w:p>
    <w:p>
      <w:pPr>
        <w:widowControl/>
        <w:spacing w:line="360" w:lineRule="auto"/>
        <w:ind w:firstLine="480" w:firstLineChars="200"/>
        <w:jc w:val="left"/>
        <w:rPr>
          <w:rFonts w:ascii="宋体" w:hAnsi="宋体" w:cs="宋体"/>
          <w:sz w:val="24"/>
          <w:szCs w:val="24"/>
        </w:rPr>
      </w:pPr>
      <w:r>
        <w:rPr>
          <w:rFonts w:hint="eastAsia" w:ascii="宋体" w:hAnsi="宋体" w:cs="宋体"/>
          <w:sz w:val="24"/>
          <w:szCs w:val="24"/>
        </w:rPr>
        <w:t>⑥合同期内接到群体性（5人及以上）投诉经查证属实达到3次，或累计接到投诉且查证属实达到15次；</w:t>
      </w:r>
    </w:p>
    <w:p>
      <w:pPr>
        <w:widowControl/>
        <w:spacing w:line="360" w:lineRule="auto"/>
        <w:ind w:firstLine="480" w:firstLineChars="200"/>
        <w:jc w:val="left"/>
        <w:rPr>
          <w:rFonts w:ascii="宋体" w:hAnsi="宋体" w:cs="宋体"/>
          <w:sz w:val="24"/>
          <w:szCs w:val="24"/>
        </w:rPr>
      </w:pPr>
      <w:r>
        <w:rPr>
          <w:rFonts w:hint="eastAsia" w:ascii="宋体" w:hAnsi="宋体" w:cs="宋体"/>
          <w:sz w:val="24"/>
          <w:szCs w:val="24"/>
        </w:rPr>
        <w:t>⑦与第三方发生债权债务或其它法律纠纷，并且给校方造成不良影响的。</w:t>
      </w:r>
    </w:p>
    <w:p>
      <w:pPr>
        <w:spacing w:line="360" w:lineRule="auto"/>
        <w:ind w:firstLine="480" w:firstLineChars="200"/>
        <w:rPr>
          <w:rFonts w:ascii="宋体" w:hAnsi="宋体" w:cs="宋体"/>
          <w:sz w:val="24"/>
          <w:szCs w:val="24"/>
        </w:rPr>
      </w:pPr>
      <w:r>
        <w:rPr>
          <w:rFonts w:hint="eastAsia" w:ascii="宋体" w:hAnsi="宋体" w:cs="宋体"/>
          <w:sz w:val="24"/>
          <w:szCs w:val="24"/>
        </w:rPr>
        <w:t>校方将视为中标供应商严重违约，有权解除合同，履约保证金不予退还，另依法追究中标供应商其他责任</w:t>
      </w:r>
      <w:r>
        <w:rPr>
          <w:rFonts w:hint="eastAsia" w:ascii="宋体" w:hAnsi="宋体" w:cs="宋体"/>
          <w:kern w:val="0"/>
          <w:sz w:val="24"/>
          <w:szCs w:val="24"/>
        </w:rPr>
        <w:t>。</w:t>
      </w:r>
    </w:p>
    <w:p>
      <w:pPr>
        <w:adjustRightInd w:val="0"/>
        <w:snapToGrid w:val="0"/>
        <w:spacing w:line="360" w:lineRule="auto"/>
        <w:rPr>
          <w:b/>
          <w:sz w:val="24"/>
        </w:rPr>
      </w:pPr>
    </w:p>
    <w:p>
      <w:pPr>
        <w:adjustRightInd w:val="0"/>
        <w:snapToGrid w:val="0"/>
        <w:spacing w:line="360" w:lineRule="auto"/>
        <w:rPr>
          <w:b/>
          <w:sz w:val="24"/>
        </w:rPr>
      </w:pPr>
      <w:r>
        <w:rPr>
          <w:rFonts w:hint="eastAsia"/>
          <w:b/>
          <w:sz w:val="24"/>
        </w:rPr>
        <w:t>五、食品采购要求</w:t>
      </w:r>
    </w:p>
    <w:p>
      <w:pPr>
        <w:spacing w:line="360" w:lineRule="auto"/>
        <w:ind w:firstLine="480" w:firstLineChars="200"/>
        <w:rPr>
          <w:rFonts w:ascii="宋体" w:hAnsi="宋体" w:cs="宋体"/>
          <w:sz w:val="24"/>
          <w:szCs w:val="24"/>
        </w:rPr>
      </w:pPr>
      <w:r>
        <w:rPr>
          <w:rFonts w:hint="eastAsia" w:ascii="宋体" w:hAnsi="宋体" w:cs="宋体"/>
          <w:sz w:val="24"/>
          <w:szCs w:val="24"/>
        </w:rPr>
        <w:t>1、中标供应商应对承包区域内的所有经营窗口实行原材料统一采购，仓库统一管理，粗加工场所统一设置，就餐区域统一保洁。售卖窗口不得用做粗加工或原材料存放场所。饭菜出售时须明码标价，操作服务程序须规范合理，窗口人员做到文明用语、礼貌服务、热情周到。</w:t>
      </w:r>
    </w:p>
    <w:p>
      <w:pPr>
        <w:adjustRightInd w:val="0"/>
        <w:snapToGrid w:val="0"/>
        <w:spacing w:line="360" w:lineRule="auto"/>
        <w:ind w:firstLine="480" w:firstLineChars="200"/>
        <w:rPr>
          <w:sz w:val="24"/>
        </w:rPr>
      </w:pPr>
      <w:r>
        <w:rPr>
          <w:rFonts w:hint="eastAsia"/>
          <w:sz w:val="24"/>
        </w:rPr>
        <w:t>2、中标供应商所需的所有物资、食品原材料等必须按学校相关规定进行采购，要定期公布市场原材料价格，要有固定的、符合相关要求的供应商，并与之签订食品卫生安全合同，按合同采购。要建立定点供货单位备案制度和索证索票制度，有相对固定的食品采购场所，保证食品来源安全、质量可靠。粮、油、副食品等主要食材应有质量检验证、卫生许可证、供货商（厂）名称和产地，禽肉类要有动物检验检疫合格证，有采购台账记录。</w:t>
      </w:r>
    </w:p>
    <w:p>
      <w:pPr>
        <w:adjustRightInd w:val="0"/>
        <w:snapToGrid w:val="0"/>
        <w:spacing w:line="360" w:lineRule="auto"/>
        <w:ind w:firstLine="480" w:firstLineChars="200"/>
        <w:rPr>
          <w:sz w:val="24"/>
        </w:rPr>
      </w:pPr>
      <w:r>
        <w:rPr>
          <w:rFonts w:hint="eastAsia"/>
          <w:sz w:val="24"/>
        </w:rPr>
        <w:t>3、禁止采购、加工、出售以下物品：①腐败变质、油脂酸败、霉变、生虫、污秽不洁、混有异物、有异味或者其他感官性异常，含有毒有害物质或者被有毒、有害物质污染，疑似对人体健康有害的食品；②未经卫生检疫部门检验或者检验不合格的肉类及其制品；③超过保质期限或者不符合规定的定型包装食品；④其他不符合食品卫生标准和要求的食品。</w:t>
      </w:r>
    </w:p>
    <w:p>
      <w:pPr>
        <w:adjustRightInd w:val="0"/>
        <w:snapToGrid w:val="0"/>
        <w:spacing w:line="360" w:lineRule="auto"/>
        <w:ind w:firstLine="480" w:firstLineChars="200"/>
        <w:rPr>
          <w:sz w:val="24"/>
        </w:rPr>
      </w:pPr>
      <w:r>
        <w:rPr>
          <w:rFonts w:hint="eastAsia"/>
          <w:sz w:val="24"/>
        </w:rPr>
        <w:t>4、中标供应商承诺实行电子台账管理，并允许采购人指定部门和指定人员察看。每天对入库、出库物资要严格过秤、验质、销账，做到日结日清。实行物资来源地登记及验收人签字制度。</w:t>
      </w:r>
    </w:p>
    <w:p>
      <w:pPr>
        <w:adjustRightInd w:val="0"/>
        <w:snapToGrid w:val="0"/>
        <w:spacing w:line="360" w:lineRule="auto"/>
        <w:rPr>
          <w:b/>
          <w:sz w:val="24"/>
        </w:rPr>
      </w:pPr>
    </w:p>
    <w:p>
      <w:pPr>
        <w:adjustRightInd w:val="0"/>
        <w:snapToGrid w:val="0"/>
        <w:spacing w:line="360" w:lineRule="auto"/>
        <w:rPr>
          <w:b/>
          <w:sz w:val="24"/>
        </w:rPr>
      </w:pPr>
      <w:r>
        <w:rPr>
          <w:rFonts w:hint="eastAsia"/>
          <w:b/>
          <w:sz w:val="24"/>
        </w:rPr>
        <w:t>六、食品安全要求</w:t>
      </w:r>
    </w:p>
    <w:p>
      <w:pPr>
        <w:adjustRightInd w:val="0"/>
        <w:snapToGrid w:val="0"/>
        <w:spacing w:line="360" w:lineRule="auto"/>
        <w:ind w:firstLine="480" w:firstLineChars="200"/>
        <w:rPr>
          <w:sz w:val="24"/>
        </w:rPr>
      </w:pPr>
      <w:r>
        <w:rPr>
          <w:rFonts w:hint="eastAsia"/>
          <w:sz w:val="24"/>
        </w:rPr>
        <w:t>1、食堂必须采用新鲜洁净的原料制作食品，不得加工或使用腐败变质和感官性状异常的食品及其原料。</w:t>
      </w:r>
    </w:p>
    <w:p>
      <w:pPr>
        <w:adjustRightInd w:val="0"/>
        <w:snapToGrid w:val="0"/>
        <w:spacing w:line="360" w:lineRule="auto"/>
        <w:ind w:firstLine="480" w:firstLineChars="200"/>
        <w:rPr>
          <w:sz w:val="24"/>
        </w:rPr>
      </w:pPr>
      <w:r>
        <w:rPr>
          <w:rFonts w:hint="eastAsia"/>
          <w:sz w:val="24"/>
        </w:rPr>
        <w:t>2、加工后的熟食品应当与食品原料分开存放，半成品应当与食品原料分开存放，防止交叉污染。食品不得接触有毒物、不洁物，严防食源性疾患的发生，杜绝食物中毒。</w:t>
      </w:r>
    </w:p>
    <w:p>
      <w:pPr>
        <w:adjustRightInd w:val="0"/>
        <w:snapToGrid w:val="0"/>
        <w:spacing w:line="360" w:lineRule="auto"/>
        <w:ind w:firstLine="480" w:firstLineChars="200"/>
        <w:rPr>
          <w:sz w:val="24"/>
        </w:rPr>
      </w:pPr>
      <w:r>
        <w:rPr>
          <w:rFonts w:hint="eastAsia"/>
          <w:sz w:val="24"/>
        </w:rPr>
        <w:t>3、食品贮存应当分类、分架、隔墙、离地存放，冰箱冰柜无厚霜、无异味污渍，有冰箱除霜记录。定期检查、及时处理变质或超过期限的食品。食品贮存场所禁止存放有毒、有害物品及个人生活物品。用于保存食品的冷藏设备，必须贴有标签，食品原料、半成品和热食品应分柜存放。</w:t>
      </w:r>
    </w:p>
    <w:p>
      <w:pPr>
        <w:adjustRightInd w:val="0"/>
        <w:snapToGrid w:val="0"/>
        <w:spacing w:line="360" w:lineRule="auto"/>
        <w:ind w:firstLine="480" w:firstLineChars="200"/>
        <w:rPr>
          <w:sz w:val="24"/>
        </w:rPr>
      </w:pPr>
      <w:r>
        <w:rPr>
          <w:rFonts w:hint="eastAsia"/>
          <w:sz w:val="24"/>
        </w:rPr>
        <w:t>4、制作熟食品必须配有熟食间，熟食间的要求及操作规程应按照卫生防疫部门的有关规定。</w:t>
      </w:r>
    </w:p>
    <w:p>
      <w:pPr>
        <w:adjustRightInd w:val="0"/>
        <w:snapToGrid w:val="0"/>
        <w:spacing w:line="360" w:lineRule="auto"/>
        <w:ind w:firstLine="480" w:firstLineChars="200"/>
        <w:rPr>
          <w:sz w:val="24"/>
        </w:rPr>
      </w:pPr>
      <w:r>
        <w:rPr>
          <w:rFonts w:hint="eastAsia"/>
          <w:sz w:val="24"/>
        </w:rPr>
        <w:t>5、每餐的各种凉菜应各取不少于250克的样品留置于冷藏设备中保存24小时以上，以备查验。制作凉菜应当符合下列条件：①凉菜间必须每天定时进行空气消毒；②操作员必须穿戴洁净的工作衣帽，并洗手消毒；③凉菜应由专人加工制作，非凉菜间工作人员不得擅自进入凉菜间；④加工凉菜的工具、容器必须专用，用前必须消毒，用后必须洗净并保持清洁；⑤供加工凉菜用的蔬菜、水果等食品原料必须洗净消毒，未经清洗处理的不得带入凉菜间；⑥制作肉类、水产品类凉菜拼盘的原材料，应尽量当餐用完，剩余尚需使用的必须存放于专用冰箱内冷藏。</w:t>
      </w:r>
    </w:p>
    <w:p>
      <w:pPr>
        <w:adjustRightInd w:val="0"/>
        <w:snapToGrid w:val="0"/>
        <w:spacing w:line="360" w:lineRule="auto"/>
        <w:ind w:firstLine="480" w:firstLineChars="200"/>
        <w:rPr>
          <w:sz w:val="24"/>
        </w:rPr>
      </w:pPr>
      <w:r>
        <w:rPr>
          <w:rFonts w:hint="eastAsia"/>
          <w:sz w:val="24"/>
        </w:rPr>
        <w:t>6、销售直接入口食品时，应当使用专用工具分检传递食品。专用工具应当定位放置，生熟分开，防止污染。</w:t>
      </w:r>
    </w:p>
    <w:p>
      <w:pPr>
        <w:adjustRightInd w:val="0"/>
        <w:snapToGrid w:val="0"/>
        <w:spacing w:line="360" w:lineRule="auto"/>
        <w:ind w:firstLine="480" w:firstLineChars="200"/>
        <w:rPr>
          <w:sz w:val="24"/>
        </w:rPr>
      </w:pPr>
      <w:r>
        <w:rPr>
          <w:rFonts w:hint="eastAsia"/>
          <w:sz w:val="24"/>
        </w:rPr>
        <w:t>7、食品在烹饪后至出售前一般不超过2小时，若超过2小时存放的，应当在高于60℃或低于10℃的条件下存放。</w:t>
      </w:r>
    </w:p>
    <w:p>
      <w:pPr>
        <w:adjustRightInd w:val="0"/>
        <w:snapToGrid w:val="0"/>
        <w:spacing w:line="360" w:lineRule="auto"/>
        <w:ind w:firstLine="480" w:firstLineChars="200"/>
        <w:rPr>
          <w:sz w:val="24"/>
        </w:rPr>
      </w:pPr>
      <w:r>
        <w:rPr>
          <w:rFonts w:hint="eastAsia"/>
          <w:sz w:val="24"/>
        </w:rPr>
        <w:t>8、食堂剩余食品必须冷藏，冷藏时间不得超过24小时，在确认没有变质的情况下，必须经高温彻底加热后，方可继续出售。</w:t>
      </w:r>
    </w:p>
    <w:p>
      <w:pPr>
        <w:adjustRightInd w:val="0"/>
        <w:snapToGrid w:val="0"/>
        <w:spacing w:line="360" w:lineRule="auto"/>
        <w:rPr>
          <w:b/>
          <w:sz w:val="24"/>
        </w:rPr>
      </w:pPr>
    </w:p>
    <w:p>
      <w:pPr>
        <w:adjustRightInd w:val="0"/>
        <w:snapToGrid w:val="0"/>
        <w:spacing w:line="360" w:lineRule="auto"/>
        <w:rPr>
          <w:b/>
          <w:sz w:val="24"/>
        </w:rPr>
      </w:pPr>
      <w:r>
        <w:rPr>
          <w:rFonts w:hint="eastAsia"/>
          <w:b/>
          <w:sz w:val="24"/>
        </w:rPr>
        <w:t>七、环境卫生要求</w:t>
      </w:r>
    </w:p>
    <w:p>
      <w:pPr>
        <w:adjustRightInd w:val="0"/>
        <w:snapToGrid w:val="0"/>
        <w:spacing w:line="360" w:lineRule="auto"/>
        <w:ind w:firstLine="480" w:firstLineChars="200"/>
        <w:rPr>
          <w:sz w:val="24"/>
        </w:rPr>
      </w:pPr>
      <w:r>
        <w:rPr>
          <w:rFonts w:hint="eastAsia"/>
          <w:sz w:val="24"/>
        </w:rPr>
        <w:t>1、食堂应当保持室内外环境卫生、整洁、干净，门窗玻璃明亮、无油垢，通风采光良好，灯具、电风扇、电视机、空调等无灰尘及蜘蛛网，纱窗门帘完好，使用正常，无卫生死角，各食堂应有完好的防治“四害”的设施，有效消除老鼠、蟑螂、苍蝇和其他有害昆虫及卫生条件，保证食品的卫生安全。食堂产生的垃圾应按规定入袋封口、装桶并加盖，及时予以清理，定期进行大扫除。</w:t>
      </w:r>
    </w:p>
    <w:p>
      <w:pPr>
        <w:adjustRightInd w:val="0"/>
        <w:snapToGrid w:val="0"/>
        <w:spacing w:line="360" w:lineRule="auto"/>
        <w:ind w:firstLine="480" w:firstLineChars="200"/>
        <w:rPr>
          <w:sz w:val="24"/>
        </w:rPr>
      </w:pPr>
      <w:r>
        <w:rPr>
          <w:rFonts w:hint="eastAsia"/>
          <w:sz w:val="24"/>
        </w:rPr>
        <w:t>2、食堂的设施、设备布局流程应当符合食品卫生的要求，有独立的食品原料存放间、食品加工操作间、食品预售间及用餐场所。备餐间、熟食间应配有紫外线消毒灯，一天至少消毒二次。</w:t>
      </w:r>
    </w:p>
    <w:p>
      <w:pPr>
        <w:adjustRightInd w:val="0"/>
        <w:snapToGrid w:val="0"/>
        <w:spacing w:line="360" w:lineRule="auto"/>
        <w:ind w:firstLine="480" w:firstLineChars="200"/>
        <w:rPr>
          <w:sz w:val="24"/>
        </w:rPr>
      </w:pPr>
      <w:r>
        <w:rPr>
          <w:rFonts w:hint="eastAsia"/>
          <w:sz w:val="24"/>
        </w:rPr>
        <w:t>3、餐饮具使用前必须洗净、消毒，符合国家有关卫生标准，未经消毒的餐、饮具不得提供给消费者使用。禁止重复使用一次性地餐饮具。减少一次餐具的投放量，提倡使用钢化或瓷器餐具.餐具消毒严格按照“一洗、二刷、三冲、四消毒”的程序执行。</w:t>
      </w:r>
    </w:p>
    <w:p>
      <w:pPr>
        <w:adjustRightInd w:val="0"/>
        <w:snapToGrid w:val="0"/>
        <w:spacing w:line="360" w:lineRule="auto"/>
        <w:ind w:firstLine="480" w:firstLineChars="200"/>
        <w:rPr>
          <w:sz w:val="24"/>
        </w:rPr>
      </w:pPr>
      <w:r>
        <w:rPr>
          <w:rFonts w:hint="eastAsia"/>
          <w:sz w:val="24"/>
        </w:rPr>
        <w:t>4、餐饮具使用的洗涤、消毒剂必须符合卫生标准或要求。洗涤、消毒剂必须有固定的存放场所（橱柜），有明显的标记。消毒后的餐、饮具必须贮存在餐具专用保洁柜内备用。已消毒和未消毒的餐具应分开存放，并在贮存柜上有明显的标记。</w:t>
      </w:r>
    </w:p>
    <w:p>
      <w:pPr>
        <w:adjustRightInd w:val="0"/>
        <w:snapToGrid w:val="0"/>
        <w:spacing w:line="360" w:lineRule="auto"/>
        <w:ind w:firstLine="480" w:firstLineChars="200"/>
        <w:rPr>
          <w:sz w:val="24"/>
        </w:rPr>
      </w:pPr>
      <w:r>
        <w:rPr>
          <w:rFonts w:hint="eastAsia"/>
          <w:sz w:val="24"/>
        </w:rPr>
        <w:t>5、未经许可，不得随意在食堂内张贴任何广告、有偿告示，保持立柱、窗口、餐桌的干净整洁。</w:t>
      </w:r>
    </w:p>
    <w:p>
      <w:pPr>
        <w:adjustRightInd w:val="0"/>
        <w:snapToGrid w:val="0"/>
        <w:spacing w:line="360" w:lineRule="auto"/>
        <w:rPr>
          <w:b/>
          <w:sz w:val="24"/>
        </w:rPr>
      </w:pPr>
    </w:p>
    <w:p>
      <w:pPr>
        <w:adjustRightInd w:val="0"/>
        <w:snapToGrid w:val="0"/>
        <w:spacing w:line="360" w:lineRule="auto"/>
        <w:rPr>
          <w:b/>
          <w:sz w:val="24"/>
        </w:rPr>
      </w:pPr>
      <w:r>
        <w:rPr>
          <w:rFonts w:hint="eastAsia"/>
          <w:b/>
          <w:sz w:val="24"/>
        </w:rPr>
        <w:t>八、用工管理要求</w:t>
      </w:r>
    </w:p>
    <w:p>
      <w:pPr>
        <w:adjustRightInd w:val="0"/>
        <w:snapToGrid w:val="0"/>
        <w:spacing w:line="360" w:lineRule="auto"/>
        <w:ind w:firstLine="480" w:firstLineChars="200"/>
        <w:rPr>
          <w:sz w:val="24"/>
        </w:rPr>
      </w:pPr>
      <w:r>
        <w:rPr>
          <w:rFonts w:hint="eastAsia"/>
          <w:sz w:val="24"/>
        </w:rPr>
        <w:t>1、食堂用工应以中标供应商名义自行招聘与管理，并依法与劳动者签订劳动用工合同，履行用工单位法定义务。</w:t>
      </w:r>
    </w:p>
    <w:p>
      <w:pPr>
        <w:adjustRightInd w:val="0"/>
        <w:snapToGrid w:val="0"/>
        <w:spacing w:line="360" w:lineRule="auto"/>
        <w:ind w:firstLine="480" w:firstLineChars="200"/>
        <w:rPr>
          <w:sz w:val="24"/>
        </w:rPr>
      </w:pPr>
      <w:r>
        <w:rPr>
          <w:rFonts w:hint="eastAsia"/>
          <w:sz w:val="24"/>
        </w:rPr>
        <w:t>2、学校有权对中标供应商的用工情况进行监督和检查，但不承担与用工有关的任何连带法律责任。</w:t>
      </w:r>
    </w:p>
    <w:p>
      <w:pPr>
        <w:adjustRightInd w:val="0"/>
        <w:snapToGrid w:val="0"/>
        <w:spacing w:line="360" w:lineRule="auto"/>
        <w:ind w:firstLine="480" w:firstLineChars="200"/>
        <w:rPr>
          <w:sz w:val="24"/>
        </w:rPr>
      </w:pPr>
      <w:r>
        <w:rPr>
          <w:rFonts w:hint="eastAsia"/>
          <w:sz w:val="24"/>
        </w:rPr>
        <w:t>3、中标供应商聘用人员必须持有身份证、健康证等，建立完善的管理档案，并报学校职能部门备案。</w:t>
      </w:r>
    </w:p>
    <w:p>
      <w:pPr>
        <w:adjustRightInd w:val="0"/>
        <w:snapToGrid w:val="0"/>
        <w:spacing w:line="360" w:lineRule="auto"/>
        <w:ind w:firstLine="480" w:firstLineChars="200"/>
        <w:rPr>
          <w:sz w:val="24"/>
        </w:rPr>
      </w:pPr>
      <w:r>
        <w:rPr>
          <w:rFonts w:hint="eastAsia"/>
          <w:sz w:val="24"/>
        </w:rPr>
        <w:t>4、食堂从业人员必须持健康证上岗。每年必须进行健康检查，新参加工作和临时参加工作的食品生产经营人员都必须进行健康检查，取得健康证明后方可上岗工作。患有如下疾病者不得从事饮食服务工作；凡患有痢疾、伤寒、病毒性肝炎等消化道疾病（包括病原携带者），活动性肺结核，化脓性或者渗出性皮肤病以及其他有碍食品卫生的疾病的，不得从事接触直接入口食品的制作。</w:t>
      </w:r>
    </w:p>
    <w:p>
      <w:pPr>
        <w:adjustRightInd w:val="0"/>
        <w:snapToGrid w:val="0"/>
        <w:spacing w:line="360" w:lineRule="auto"/>
        <w:ind w:firstLine="480" w:firstLineChars="200"/>
        <w:rPr>
          <w:sz w:val="24"/>
        </w:rPr>
      </w:pPr>
      <w:r>
        <w:rPr>
          <w:rFonts w:hint="eastAsia"/>
          <w:sz w:val="24"/>
        </w:rPr>
        <w:t>5、食堂从业人员个人卫生要求：①工作前、处理食品原料后及便后用洗手液及流动清水洗手，接触直接入口食品之前必须洗手消毒；②穿戴清洁的工作衣、帽，并把头发置于帽内；③不得留长指甲、涂指甲油、戴戒指加工食品；④不得在食品加工和销售场所内吸烟。</w:t>
      </w:r>
    </w:p>
    <w:p>
      <w:pPr>
        <w:adjustRightInd w:val="0"/>
        <w:snapToGrid w:val="0"/>
        <w:spacing w:line="360" w:lineRule="auto"/>
        <w:ind w:firstLine="480" w:firstLineChars="200"/>
        <w:rPr>
          <w:sz w:val="24"/>
        </w:rPr>
      </w:pPr>
      <w:r>
        <w:rPr>
          <w:rFonts w:hint="eastAsia"/>
          <w:sz w:val="24"/>
        </w:rPr>
        <w:t>6、食堂项目经理如超过两天以上不能到现场，必须向管理部门说明情况备案并说明情况；每日三餐均有食堂经理现场值班，有投诉箱、投诉电话，所有投诉记录24小时内处理完毕。</w:t>
      </w:r>
    </w:p>
    <w:p>
      <w:pPr>
        <w:adjustRightInd w:val="0"/>
        <w:snapToGrid w:val="0"/>
        <w:spacing w:line="360" w:lineRule="auto"/>
        <w:rPr>
          <w:b/>
          <w:sz w:val="24"/>
        </w:rPr>
      </w:pPr>
    </w:p>
    <w:p>
      <w:pPr>
        <w:adjustRightInd w:val="0"/>
        <w:snapToGrid w:val="0"/>
        <w:spacing w:line="360" w:lineRule="auto"/>
        <w:rPr>
          <w:b/>
          <w:sz w:val="24"/>
        </w:rPr>
      </w:pPr>
      <w:r>
        <w:rPr>
          <w:rFonts w:hint="eastAsia"/>
          <w:b/>
          <w:sz w:val="24"/>
        </w:rPr>
        <w:t>九、安全管理要求</w:t>
      </w:r>
    </w:p>
    <w:p>
      <w:pPr>
        <w:adjustRightInd w:val="0"/>
        <w:snapToGrid w:val="0"/>
        <w:spacing w:line="360" w:lineRule="auto"/>
        <w:ind w:firstLine="480" w:firstLineChars="200"/>
        <w:rPr>
          <w:sz w:val="24"/>
        </w:rPr>
      </w:pPr>
      <w:r>
        <w:rPr>
          <w:rFonts w:hint="eastAsia"/>
          <w:sz w:val="24"/>
        </w:rPr>
        <w:t>1、中标供应商作为委托经营食堂食品卫生安全、消防安全、治安安全等的第一责任人，对相应的安全管理工作负有直接的组织和管理义务，并承担全部责任。</w:t>
      </w:r>
    </w:p>
    <w:p>
      <w:pPr>
        <w:adjustRightInd w:val="0"/>
        <w:snapToGrid w:val="0"/>
        <w:spacing w:line="360" w:lineRule="auto"/>
        <w:ind w:firstLine="480" w:firstLineChars="200"/>
        <w:rPr>
          <w:sz w:val="24"/>
        </w:rPr>
      </w:pPr>
      <w:r>
        <w:rPr>
          <w:rFonts w:hint="eastAsia"/>
          <w:sz w:val="24"/>
        </w:rPr>
        <w:t>2、中标供应商必须建立健全岗位责任制和责任追究制，做到层层把关，措施落实、责任到人，保证安全监督制度的落实。食堂管理员是食堂防火防盗、防爆炸和食品安全卫生监督管理人员。</w:t>
      </w:r>
    </w:p>
    <w:p>
      <w:pPr>
        <w:adjustRightInd w:val="0"/>
        <w:snapToGrid w:val="0"/>
        <w:spacing w:line="360" w:lineRule="auto"/>
        <w:ind w:firstLine="480" w:firstLineChars="200"/>
        <w:rPr>
          <w:sz w:val="24"/>
        </w:rPr>
      </w:pPr>
      <w:r>
        <w:rPr>
          <w:rFonts w:hint="eastAsia"/>
          <w:sz w:val="24"/>
        </w:rPr>
        <w:t>3、中标供应商经营的食堂必须取得卫生行政部门发放的卫生许可，积极配合和接受当地卫生行政部门的卫生监督检查。食堂要建立严格的安全防范措施，严禁非食堂工作人员随意进入食堂的食品加工间及食品原料存放间，防止不法人员恶意破坏。</w:t>
      </w:r>
    </w:p>
    <w:p>
      <w:pPr>
        <w:adjustRightInd w:val="0"/>
        <w:snapToGrid w:val="0"/>
        <w:spacing w:line="360" w:lineRule="auto"/>
        <w:ind w:firstLine="480" w:firstLineChars="200"/>
        <w:rPr>
          <w:sz w:val="24"/>
        </w:rPr>
      </w:pPr>
      <w:r>
        <w:rPr>
          <w:rFonts w:hint="eastAsia"/>
          <w:sz w:val="24"/>
        </w:rPr>
        <w:t>4、中标供应商应定期对从业人员进行食品卫生、消防安全、治安防范等知识培训及职业道德和法制教育，提高员工的安全防范意识和法制观念。</w:t>
      </w:r>
    </w:p>
    <w:p>
      <w:pPr>
        <w:adjustRightInd w:val="0"/>
        <w:snapToGrid w:val="0"/>
        <w:spacing w:line="360" w:lineRule="auto"/>
        <w:ind w:firstLine="480" w:firstLineChars="200"/>
        <w:rPr>
          <w:sz w:val="24"/>
        </w:rPr>
      </w:pPr>
      <w:r>
        <w:rPr>
          <w:rFonts w:hint="eastAsia"/>
          <w:sz w:val="24"/>
        </w:rPr>
        <w:t>5、中标供应商应依据国家法律法规和学校规章建立规范的内部管理制度，认真做好食品原料的采购、运输、贮存和食品的加工、出售环节食品卫生安全工作以及所经营食堂内外的环境卫生工作。经营食堂餐厨废弃物由按照政府环保部门的要求统一处理。</w:t>
      </w:r>
    </w:p>
    <w:p>
      <w:pPr>
        <w:adjustRightInd w:val="0"/>
        <w:snapToGrid w:val="0"/>
        <w:spacing w:line="360" w:lineRule="auto"/>
        <w:ind w:firstLine="480" w:firstLineChars="200"/>
        <w:rPr>
          <w:sz w:val="24"/>
        </w:rPr>
      </w:pPr>
      <w:r>
        <w:rPr>
          <w:rFonts w:hint="eastAsia"/>
          <w:sz w:val="24"/>
        </w:rPr>
        <w:t>6、中标供应商应自觉做好其经营食堂的食品安全和防火、防盗等安全应急预案，做好日常的管理工作，配备必要的消防和其他安全器材，如灭火毯、空气呼吸器、防毒面具、强光电筒等，定期做好各类安全培训和安全检查，有培训、检查记录，设专职安全员每天负责检查食堂的水、电、煤气设施设备的安全检查并有完整记录；燃气的使用要严格按照燃气公司规定的操作规程，合理合法使用气源。如发生食品安全、火灾、失窃等事故，中标供应商负完全责任；给学校造成经济损失的，应予赔偿；造成不良影响的，视为中标供应商严重违约，学校有权解除合同，并追究相应责任。</w:t>
      </w:r>
    </w:p>
    <w:p>
      <w:pPr>
        <w:adjustRightInd w:val="0"/>
        <w:snapToGrid w:val="0"/>
        <w:spacing w:line="360" w:lineRule="auto"/>
        <w:ind w:firstLine="480" w:firstLineChars="200"/>
        <w:rPr>
          <w:rFonts w:ascii="Arial" w:hAnsi="Arial" w:cs="Arial"/>
          <w:sz w:val="28"/>
        </w:rPr>
      </w:pPr>
      <w:r>
        <w:rPr>
          <w:rFonts w:hint="eastAsia"/>
          <w:sz w:val="24"/>
        </w:rPr>
        <w:t>7、中标供应商经营的食堂应自觉接受政府行政管理部门的监管和学校职能部门对食品原材料采购和贮存、原材料采购登记台帐和索证索票、食品加工和销售、食品留样、餐具消毒、饭菜质量、饭菜价格、饭菜品种、服务规范等方面的监督检查，积极配合学校相关部门和学生组织开展工作。</w:t>
      </w:r>
    </w:p>
    <w:p>
      <w:pPr>
        <w:spacing w:line="0" w:lineRule="atLeast"/>
        <w:jc w:val="center"/>
        <w:rPr>
          <w:rFonts w:ascii="Arial" w:hAnsi="Arial" w:cs="Arial"/>
          <w:sz w:val="28"/>
        </w:rPr>
      </w:pPr>
    </w:p>
    <w:sectPr>
      <w:pgSz w:w="11907" w:h="16840"/>
      <w:pgMar w:top="1440" w:right="1247" w:bottom="1440" w:left="1247" w:header="851" w:footer="992" w:gutter="0"/>
      <w:cols w:space="720" w:num="1"/>
      <w:docGrid w:linePitch="30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Plotter">
    <w:altName w:val="Times New Roman"/>
    <w:panose1 w:val="00000000000000000000"/>
    <w:charset w:val="00"/>
    <w:family w:val="roman"/>
    <w:pitch w:val="default"/>
    <w:sig w:usb0="00000000" w:usb1="00000000" w:usb2="00000000"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Courier New">
    <w:panose1 w:val="02070309020205020404"/>
    <w:charset w:val="00"/>
    <w:family w:val="modern"/>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幼圆">
    <w:panose1 w:val="0201050906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Agilent TT Cond">
    <w:altName w:val="Arial"/>
    <w:panose1 w:val="00000000000000000000"/>
    <w:charset w:val="00"/>
    <w:family w:val="swiss"/>
    <w:pitch w:val="default"/>
    <w:sig w:usb0="00000000" w:usb1="00000000" w:usb2="00000000" w:usb3="00000000" w:csb0="0000009F" w:csb1="00000000"/>
  </w:font>
  <w:font w:name="Agilent TT CondLight">
    <w:altName w:val="Arial"/>
    <w:panose1 w:val="00000000000000000000"/>
    <w:charset w:val="00"/>
    <w:family w:val="swiss"/>
    <w:pitch w:val="default"/>
    <w:sig w:usb0="00000000" w:usb1="00000000" w:usb2="00000000" w:usb3="00000000" w:csb0="0000009F" w:csb1="00000000"/>
  </w:font>
  <w:font w:name="华文新魏">
    <w:panose1 w:val="02010800040101010101"/>
    <w:charset w:val="86"/>
    <w:family w:val="auto"/>
    <w:pitch w:val="default"/>
    <w:sig w:usb0="00000001" w:usb1="080F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jc w:val="center"/>
      <w:rPr>
        <w:rFonts w:ascii="Arial" w:hAnsi="Arial" w:cs="Arial"/>
        <w:sz w:val="24"/>
      </w:rPr>
    </w:pPr>
    <w:r>
      <w:rPr>
        <w:rFonts w:ascii="Arial" w:hAnsi="Arial" w:cs="Arial"/>
        <w:sz w:val="21"/>
        <w:szCs w:val="16"/>
      </w:rPr>
      <w:t>第</w:t>
    </w:r>
    <w:r>
      <w:rPr>
        <w:rFonts w:ascii="Arial" w:hAnsi="Arial" w:cs="Arial"/>
        <w:bCs/>
        <w:sz w:val="21"/>
        <w:szCs w:val="16"/>
      </w:rPr>
      <w:fldChar w:fldCharType="begin"/>
    </w:r>
    <w:r>
      <w:rPr>
        <w:rFonts w:ascii="Arial" w:hAnsi="Arial" w:cs="Arial"/>
        <w:bCs/>
        <w:sz w:val="21"/>
        <w:szCs w:val="16"/>
      </w:rPr>
      <w:instrText xml:space="preserve">PAGE</w:instrText>
    </w:r>
    <w:r>
      <w:rPr>
        <w:rFonts w:ascii="Arial" w:hAnsi="Arial" w:cs="Arial"/>
        <w:bCs/>
        <w:sz w:val="21"/>
        <w:szCs w:val="16"/>
      </w:rPr>
      <w:fldChar w:fldCharType="separate"/>
    </w:r>
    <w:r>
      <w:rPr>
        <w:rFonts w:ascii="Arial" w:hAnsi="Arial" w:cs="Arial"/>
        <w:bCs/>
        <w:sz w:val="21"/>
        <w:szCs w:val="16"/>
      </w:rPr>
      <w:t>6</w:t>
    </w:r>
    <w:r>
      <w:rPr>
        <w:rFonts w:ascii="Arial" w:hAnsi="Arial" w:cs="Arial"/>
        <w:bCs/>
        <w:sz w:val="21"/>
        <w:szCs w:val="16"/>
      </w:rPr>
      <w:fldChar w:fldCharType="end"/>
    </w:r>
    <w:r>
      <w:rPr>
        <w:rFonts w:ascii="Arial" w:hAnsi="Arial" w:cs="Arial"/>
        <w:bCs/>
        <w:sz w:val="21"/>
        <w:szCs w:val="16"/>
      </w:rPr>
      <w:t>页</w:t>
    </w:r>
    <w:r>
      <w:rPr>
        <w:rFonts w:ascii="Arial" w:hAnsi="Arial" w:cs="Arial"/>
        <w:sz w:val="21"/>
        <w:szCs w:val="16"/>
        <w:lang w:val="zh-CN"/>
      </w:rPr>
      <w:t>共57</w:t>
    </w:r>
    <w:r>
      <w:rPr>
        <w:rFonts w:ascii="Arial" w:hAnsi="Arial" w:cs="Arial"/>
        <w:bCs/>
        <w:sz w:val="21"/>
        <w:szCs w:val="16"/>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pPr>
    <w:r>
      <w:drawing>
        <wp:anchor distT="0" distB="0" distL="114300" distR="114300" simplePos="0" relativeHeight="251659264" behindDoc="1" locked="0" layoutInCell="0" allowOverlap="1">
          <wp:simplePos x="0" y="0"/>
          <wp:positionH relativeFrom="margin">
            <wp:align>center</wp:align>
          </wp:positionH>
          <wp:positionV relativeFrom="margin">
            <wp:align>center</wp:align>
          </wp:positionV>
          <wp:extent cx="3028950" cy="2790825"/>
          <wp:effectExtent l="0" t="0" r="0" b="9525"/>
          <wp:wrapNone/>
          <wp:docPr id="7" name="WordPictureWatermark828270800" descr="LOGO_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ordPictureWatermark828270800" descr="LOGO_s"/>
                  <pic:cNvPicPr>
                    <a:picLocks noChangeAspect="1"/>
                  </pic:cNvPicPr>
                </pic:nvPicPr>
                <pic:blipFill>
                  <a:blip r:embed="rId1">
                    <a:lum bright="70001" contrast="-70000"/>
                  </a:blip>
                  <a:stretch>
                    <a:fillRect/>
                  </a:stretch>
                </pic:blipFill>
                <pic:spPr>
                  <a:xfrm>
                    <a:off x="0" y="0"/>
                    <a:ext cx="3028950" cy="2790825"/>
                  </a:xfrm>
                  <a:prstGeom prst="rect">
                    <a:avLst/>
                  </a:prstGeom>
                  <a:noFill/>
                  <a:ln w="9525">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pPr>
    <w:r>
      <w:drawing>
        <wp:anchor distT="0" distB="0" distL="114300" distR="114300" simplePos="0" relativeHeight="251658240" behindDoc="1" locked="0" layoutInCell="0" allowOverlap="1">
          <wp:simplePos x="0" y="0"/>
          <wp:positionH relativeFrom="margin">
            <wp:align>center</wp:align>
          </wp:positionH>
          <wp:positionV relativeFrom="margin">
            <wp:align>center</wp:align>
          </wp:positionV>
          <wp:extent cx="3028950" cy="2790825"/>
          <wp:effectExtent l="0" t="0" r="0" b="9525"/>
          <wp:wrapNone/>
          <wp:docPr id="6" name="WordPictureWatermark828270799" descr="LOGO_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ordPictureWatermark828270799" descr="LOGO_s"/>
                  <pic:cNvPicPr>
                    <a:picLocks noChangeAspect="1"/>
                  </pic:cNvPicPr>
                </pic:nvPicPr>
                <pic:blipFill>
                  <a:blip r:embed="rId1">
                    <a:lum bright="70001" contrast="-70000"/>
                  </a:blip>
                  <a:stretch>
                    <a:fillRect/>
                  </a:stretch>
                </pic:blipFill>
                <pic:spPr>
                  <a:xfrm>
                    <a:off x="0" y="0"/>
                    <a:ext cx="3028950" cy="2790825"/>
                  </a:xfrm>
                  <a:prstGeom prst="rect">
                    <a:avLst/>
                  </a:prstGeom>
                  <a:noFill/>
                  <a:ln w="9525">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83FA30A"/>
    <w:multiLevelType w:val="singleLevel"/>
    <w:tmpl w:val="D83FA30A"/>
    <w:lvl w:ilvl="0" w:tentative="0">
      <w:start w:val="1"/>
      <w:numFmt w:val="chineseCounting"/>
      <w:suff w:val="space"/>
      <w:lvlText w:val="第%1条"/>
      <w:lvlJc w:val="left"/>
      <w:rPr>
        <w:rFonts w:hint="eastAsia"/>
      </w:rPr>
    </w:lvl>
  </w:abstractNum>
  <w:abstractNum w:abstractNumId="1">
    <w:nsid w:val="3B560F77"/>
    <w:multiLevelType w:val="multilevel"/>
    <w:tmpl w:val="3B560F77"/>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
    <w:nsid w:val="3D157016"/>
    <w:multiLevelType w:val="singleLevel"/>
    <w:tmpl w:val="3D157016"/>
    <w:lvl w:ilvl="0" w:tentative="0">
      <w:start w:val="7"/>
      <w:numFmt w:val="chineseCounting"/>
      <w:suff w:val="space"/>
      <w:lvlText w:val="第%1条"/>
      <w:lvlJc w:val="left"/>
      <w:rPr>
        <w:rFonts w:hint="eastAsia"/>
      </w:rPr>
    </w:lvl>
  </w:abstractNum>
  <w:abstractNum w:abstractNumId="3">
    <w:nsid w:val="58DD0DEF"/>
    <w:multiLevelType w:val="singleLevel"/>
    <w:tmpl w:val="58DD0DEF"/>
    <w:lvl w:ilvl="0" w:tentative="0">
      <w:start w:val="2"/>
      <w:numFmt w:val="decimal"/>
      <w:suff w:val="nothing"/>
      <w:lvlText w:val="%1、"/>
      <w:lvlJc w:val="left"/>
    </w:lvl>
  </w:abstractNum>
  <w:abstractNum w:abstractNumId="4">
    <w:nsid w:val="6E155B7C"/>
    <w:multiLevelType w:val="multilevel"/>
    <w:tmpl w:val="6E155B7C"/>
    <w:lvl w:ilvl="0" w:tentative="0">
      <w:start w:val="1"/>
      <w:numFmt w:val="decimal"/>
      <w:suff w:val="nothing"/>
      <w:lvlText w:val="%1"/>
      <w:lvlJc w:val="left"/>
      <w:pPr>
        <w:ind w:left="845" w:hanging="420"/>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hideSpellingErrors/>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D6141F"/>
    <w:rsid w:val="00000257"/>
    <w:rsid w:val="000006A9"/>
    <w:rsid w:val="00001EAA"/>
    <w:rsid w:val="00002A73"/>
    <w:rsid w:val="000033CF"/>
    <w:rsid w:val="000047BC"/>
    <w:rsid w:val="00004DB1"/>
    <w:rsid w:val="00006000"/>
    <w:rsid w:val="00011D51"/>
    <w:rsid w:val="000125C6"/>
    <w:rsid w:val="00014D71"/>
    <w:rsid w:val="0001538F"/>
    <w:rsid w:val="000156F8"/>
    <w:rsid w:val="00016334"/>
    <w:rsid w:val="00021E2E"/>
    <w:rsid w:val="00021FB7"/>
    <w:rsid w:val="00023682"/>
    <w:rsid w:val="00024952"/>
    <w:rsid w:val="00025311"/>
    <w:rsid w:val="000258E6"/>
    <w:rsid w:val="000264EF"/>
    <w:rsid w:val="000320AB"/>
    <w:rsid w:val="00033E60"/>
    <w:rsid w:val="000344D7"/>
    <w:rsid w:val="0003550D"/>
    <w:rsid w:val="00036308"/>
    <w:rsid w:val="00036C1C"/>
    <w:rsid w:val="00037AA8"/>
    <w:rsid w:val="00042925"/>
    <w:rsid w:val="000435D1"/>
    <w:rsid w:val="00043B54"/>
    <w:rsid w:val="00046940"/>
    <w:rsid w:val="00046F6E"/>
    <w:rsid w:val="00047168"/>
    <w:rsid w:val="000536E7"/>
    <w:rsid w:val="00053AA2"/>
    <w:rsid w:val="00054B73"/>
    <w:rsid w:val="000569B9"/>
    <w:rsid w:val="000573D4"/>
    <w:rsid w:val="0005751B"/>
    <w:rsid w:val="00061181"/>
    <w:rsid w:val="00063E6C"/>
    <w:rsid w:val="000647B9"/>
    <w:rsid w:val="00065376"/>
    <w:rsid w:val="00066D09"/>
    <w:rsid w:val="00070902"/>
    <w:rsid w:val="000713FF"/>
    <w:rsid w:val="00072E3E"/>
    <w:rsid w:val="00075A7F"/>
    <w:rsid w:val="00076C60"/>
    <w:rsid w:val="0007712A"/>
    <w:rsid w:val="00080604"/>
    <w:rsid w:val="0008222F"/>
    <w:rsid w:val="000835B5"/>
    <w:rsid w:val="00083B3D"/>
    <w:rsid w:val="00083CAF"/>
    <w:rsid w:val="00087407"/>
    <w:rsid w:val="000927A1"/>
    <w:rsid w:val="00093978"/>
    <w:rsid w:val="00095916"/>
    <w:rsid w:val="00096EEE"/>
    <w:rsid w:val="000A02F9"/>
    <w:rsid w:val="000A20E6"/>
    <w:rsid w:val="000A35E4"/>
    <w:rsid w:val="000A448D"/>
    <w:rsid w:val="000A5C6E"/>
    <w:rsid w:val="000A75FB"/>
    <w:rsid w:val="000A7F2F"/>
    <w:rsid w:val="000B0E23"/>
    <w:rsid w:val="000B1C6D"/>
    <w:rsid w:val="000B55EC"/>
    <w:rsid w:val="000B7FA5"/>
    <w:rsid w:val="000C0C40"/>
    <w:rsid w:val="000C1444"/>
    <w:rsid w:val="000C1610"/>
    <w:rsid w:val="000C2D63"/>
    <w:rsid w:val="000C3295"/>
    <w:rsid w:val="000C3FAC"/>
    <w:rsid w:val="000C4BD6"/>
    <w:rsid w:val="000C5427"/>
    <w:rsid w:val="000C6C21"/>
    <w:rsid w:val="000D060E"/>
    <w:rsid w:val="000D0E42"/>
    <w:rsid w:val="000D0E58"/>
    <w:rsid w:val="000D2D75"/>
    <w:rsid w:val="000D598B"/>
    <w:rsid w:val="000D791E"/>
    <w:rsid w:val="000E5D33"/>
    <w:rsid w:val="000F01CA"/>
    <w:rsid w:val="000F1361"/>
    <w:rsid w:val="000F1B54"/>
    <w:rsid w:val="000F1DB7"/>
    <w:rsid w:val="000F2A06"/>
    <w:rsid w:val="000F2B78"/>
    <w:rsid w:val="000F35EF"/>
    <w:rsid w:val="000F4062"/>
    <w:rsid w:val="000F4E3B"/>
    <w:rsid w:val="000F6110"/>
    <w:rsid w:val="00100260"/>
    <w:rsid w:val="00100B38"/>
    <w:rsid w:val="00100C5C"/>
    <w:rsid w:val="00102E84"/>
    <w:rsid w:val="00103317"/>
    <w:rsid w:val="00104218"/>
    <w:rsid w:val="00105DEF"/>
    <w:rsid w:val="0010798E"/>
    <w:rsid w:val="001101FA"/>
    <w:rsid w:val="00110965"/>
    <w:rsid w:val="00111C03"/>
    <w:rsid w:val="0011281A"/>
    <w:rsid w:val="00113163"/>
    <w:rsid w:val="00114178"/>
    <w:rsid w:val="0011461B"/>
    <w:rsid w:val="00115A66"/>
    <w:rsid w:val="001177C6"/>
    <w:rsid w:val="001206A9"/>
    <w:rsid w:val="00120E7C"/>
    <w:rsid w:val="0012185A"/>
    <w:rsid w:val="001227B7"/>
    <w:rsid w:val="0012350D"/>
    <w:rsid w:val="00123F47"/>
    <w:rsid w:val="00125147"/>
    <w:rsid w:val="00126BDF"/>
    <w:rsid w:val="001272C6"/>
    <w:rsid w:val="00127DE7"/>
    <w:rsid w:val="001303CC"/>
    <w:rsid w:val="00132192"/>
    <w:rsid w:val="00133612"/>
    <w:rsid w:val="0013718D"/>
    <w:rsid w:val="00137C3D"/>
    <w:rsid w:val="00143B37"/>
    <w:rsid w:val="00145DA9"/>
    <w:rsid w:val="00146394"/>
    <w:rsid w:val="00150118"/>
    <w:rsid w:val="00150B07"/>
    <w:rsid w:val="00153A3C"/>
    <w:rsid w:val="00156593"/>
    <w:rsid w:val="001643A6"/>
    <w:rsid w:val="00165942"/>
    <w:rsid w:val="00166720"/>
    <w:rsid w:val="00166FDC"/>
    <w:rsid w:val="0017042D"/>
    <w:rsid w:val="001709E8"/>
    <w:rsid w:val="00170C7F"/>
    <w:rsid w:val="0017223D"/>
    <w:rsid w:val="00172BFC"/>
    <w:rsid w:val="00175441"/>
    <w:rsid w:val="00177A37"/>
    <w:rsid w:val="00180967"/>
    <w:rsid w:val="00182C0E"/>
    <w:rsid w:val="00182F8E"/>
    <w:rsid w:val="0018344B"/>
    <w:rsid w:val="00184145"/>
    <w:rsid w:val="0018611D"/>
    <w:rsid w:val="00186143"/>
    <w:rsid w:val="00186EC1"/>
    <w:rsid w:val="00187739"/>
    <w:rsid w:val="0019033A"/>
    <w:rsid w:val="001936B9"/>
    <w:rsid w:val="001952D4"/>
    <w:rsid w:val="00197256"/>
    <w:rsid w:val="001977D1"/>
    <w:rsid w:val="001A2983"/>
    <w:rsid w:val="001A2B5D"/>
    <w:rsid w:val="001A2C3C"/>
    <w:rsid w:val="001A353A"/>
    <w:rsid w:val="001A4372"/>
    <w:rsid w:val="001B3D14"/>
    <w:rsid w:val="001B58A6"/>
    <w:rsid w:val="001B7541"/>
    <w:rsid w:val="001B7970"/>
    <w:rsid w:val="001C06F9"/>
    <w:rsid w:val="001C14B8"/>
    <w:rsid w:val="001C186E"/>
    <w:rsid w:val="001C2339"/>
    <w:rsid w:val="001C24F8"/>
    <w:rsid w:val="001C2BB4"/>
    <w:rsid w:val="001C4A81"/>
    <w:rsid w:val="001C5712"/>
    <w:rsid w:val="001C5E86"/>
    <w:rsid w:val="001C723D"/>
    <w:rsid w:val="001D0F9B"/>
    <w:rsid w:val="001D2F0E"/>
    <w:rsid w:val="001D5ADB"/>
    <w:rsid w:val="001E0B78"/>
    <w:rsid w:val="001E1CB2"/>
    <w:rsid w:val="001E4CBD"/>
    <w:rsid w:val="001F0663"/>
    <w:rsid w:val="001F0A05"/>
    <w:rsid w:val="001F0BAA"/>
    <w:rsid w:val="001F35F5"/>
    <w:rsid w:val="001F37FA"/>
    <w:rsid w:val="001F4002"/>
    <w:rsid w:val="001F406E"/>
    <w:rsid w:val="001F5775"/>
    <w:rsid w:val="001F76FF"/>
    <w:rsid w:val="00201DFC"/>
    <w:rsid w:val="002064C5"/>
    <w:rsid w:val="00213FEE"/>
    <w:rsid w:val="002141F6"/>
    <w:rsid w:val="00214F1B"/>
    <w:rsid w:val="00215A5A"/>
    <w:rsid w:val="00216795"/>
    <w:rsid w:val="00216DCE"/>
    <w:rsid w:val="00216FF0"/>
    <w:rsid w:val="002176ED"/>
    <w:rsid w:val="002177C2"/>
    <w:rsid w:val="00217ECF"/>
    <w:rsid w:val="00220338"/>
    <w:rsid w:val="00222A84"/>
    <w:rsid w:val="00225426"/>
    <w:rsid w:val="00225B41"/>
    <w:rsid w:val="0022723D"/>
    <w:rsid w:val="00231B0F"/>
    <w:rsid w:val="0023266E"/>
    <w:rsid w:val="00232EB4"/>
    <w:rsid w:val="0023362B"/>
    <w:rsid w:val="00233E37"/>
    <w:rsid w:val="00234D1F"/>
    <w:rsid w:val="00235B38"/>
    <w:rsid w:val="00236A22"/>
    <w:rsid w:val="002374CA"/>
    <w:rsid w:val="00241DCA"/>
    <w:rsid w:val="0024371A"/>
    <w:rsid w:val="0024574D"/>
    <w:rsid w:val="00245F8E"/>
    <w:rsid w:val="00246836"/>
    <w:rsid w:val="00246C4F"/>
    <w:rsid w:val="0025022B"/>
    <w:rsid w:val="0025087B"/>
    <w:rsid w:val="0025138E"/>
    <w:rsid w:val="002523A4"/>
    <w:rsid w:val="0025311D"/>
    <w:rsid w:val="00253B9C"/>
    <w:rsid w:val="00255625"/>
    <w:rsid w:val="00260E35"/>
    <w:rsid w:val="0026182F"/>
    <w:rsid w:val="002667F9"/>
    <w:rsid w:val="00266D4F"/>
    <w:rsid w:val="00270576"/>
    <w:rsid w:val="002718D1"/>
    <w:rsid w:val="00273076"/>
    <w:rsid w:val="00274F25"/>
    <w:rsid w:val="0027571C"/>
    <w:rsid w:val="00276048"/>
    <w:rsid w:val="00280139"/>
    <w:rsid w:val="002801EB"/>
    <w:rsid w:val="00280B31"/>
    <w:rsid w:val="00280BD6"/>
    <w:rsid w:val="00281DE3"/>
    <w:rsid w:val="002822A6"/>
    <w:rsid w:val="00284817"/>
    <w:rsid w:val="00287A4B"/>
    <w:rsid w:val="0029078C"/>
    <w:rsid w:val="00294D72"/>
    <w:rsid w:val="00295404"/>
    <w:rsid w:val="002956E2"/>
    <w:rsid w:val="00295AB3"/>
    <w:rsid w:val="00295D0B"/>
    <w:rsid w:val="002961C7"/>
    <w:rsid w:val="00296C5A"/>
    <w:rsid w:val="002A1BE4"/>
    <w:rsid w:val="002A2134"/>
    <w:rsid w:val="002A2421"/>
    <w:rsid w:val="002A3BDD"/>
    <w:rsid w:val="002A4297"/>
    <w:rsid w:val="002A6A88"/>
    <w:rsid w:val="002A6B92"/>
    <w:rsid w:val="002B0A3A"/>
    <w:rsid w:val="002B0DD6"/>
    <w:rsid w:val="002B1379"/>
    <w:rsid w:val="002B2E87"/>
    <w:rsid w:val="002B5A38"/>
    <w:rsid w:val="002B5E60"/>
    <w:rsid w:val="002C55AE"/>
    <w:rsid w:val="002C58C3"/>
    <w:rsid w:val="002C5945"/>
    <w:rsid w:val="002C5B8C"/>
    <w:rsid w:val="002C7EB6"/>
    <w:rsid w:val="002D53B2"/>
    <w:rsid w:val="002D5E55"/>
    <w:rsid w:val="002D6E47"/>
    <w:rsid w:val="002D7561"/>
    <w:rsid w:val="002E19AA"/>
    <w:rsid w:val="002E22B0"/>
    <w:rsid w:val="002E7CDA"/>
    <w:rsid w:val="002F0730"/>
    <w:rsid w:val="002F153B"/>
    <w:rsid w:val="002F1612"/>
    <w:rsid w:val="002F330F"/>
    <w:rsid w:val="002F6A60"/>
    <w:rsid w:val="00300163"/>
    <w:rsid w:val="00300725"/>
    <w:rsid w:val="00300919"/>
    <w:rsid w:val="00301BFC"/>
    <w:rsid w:val="003044B1"/>
    <w:rsid w:val="003054E6"/>
    <w:rsid w:val="003056A3"/>
    <w:rsid w:val="0031028D"/>
    <w:rsid w:val="00315AED"/>
    <w:rsid w:val="00316BFB"/>
    <w:rsid w:val="00317160"/>
    <w:rsid w:val="003175B1"/>
    <w:rsid w:val="00324502"/>
    <w:rsid w:val="00325886"/>
    <w:rsid w:val="00327ABE"/>
    <w:rsid w:val="00330A3E"/>
    <w:rsid w:val="00330B1D"/>
    <w:rsid w:val="00330B8C"/>
    <w:rsid w:val="00332D0F"/>
    <w:rsid w:val="00333466"/>
    <w:rsid w:val="003335D3"/>
    <w:rsid w:val="003349A1"/>
    <w:rsid w:val="003376FD"/>
    <w:rsid w:val="00341B47"/>
    <w:rsid w:val="00343C08"/>
    <w:rsid w:val="00344159"/>
    <w:rsid w:val="00345734"/>
    <w:rsid w:val="00346895"/>
    <w:rsid w:val="00346EB1"/>
    <w:rsid w:val="00347864"/>
    <w:rsid w:val="00347BB5"/>
    <w:rsid w:val="003505A3"/>
    <w:rsid w:val="00351204"/>
    <w:rsid w:val="00354141"/>
    <w:rsid w:val="00360B8D"/>
    <w:rsid w:val="00361BEF"/>
    <w:rsid w:val="003625F6"/>
    <w:rsid w:val="003627A7"/>
    <w:rsid w:val="00363189"/>
    <w:rsid w:val="00363BFE"/>
    <w:rsid w:val="003644D7"/>
    <w:rsid w:val="00364E69"/>
    <w:rsid w:val="00365262"/>
    <w:rsid w:val="00365F1F"/>
    <w:rsid w:val="003710F8"/>
    <w:rsid w:val="003712DD"/>
    <w:rsid w:val="00371469"/>
    <w:rsid w:val="00372858"/>
    <w:rsid w:val="00374B89"/>
    <w:rsid w:val="00375E41"/>
    <w:rsid w:val="003811E4"/>
    <w:rsid w:val="00381315"/>
    <w:rsid w:val="00381E77"/>
    <w:rsid w:val="003833D9"/>
    <w:rsid w:val="0038350C"/>
    <w:rsid w:val="0038627D"/>
    <w:rsid w:val="00387FE3"/>
    <w:rsid w:val="003903E1"/>
    <w:rsid w:val="003911B8"/>
    <w:rsid w:val="003920C7"/>
    <w:rsid w:val="00394C6F"/>
    <w:rsid w:val="00395C90"/>
    <w:rsid w:val="00396133"/>
    <w:rsid w:val="003A01CD"/>
    <w:rsid w:val="003A1CF4"/>
    <w:rsid w:val="003A2065"/>
    <w:rsid w:val="003A2406"/>
    <w:rsid w:val="003A28B5"/>
    <w:rsid w:val="003B08C1"/>
    <w:rsid w:val="003B09B8"/>
    <w:rsid w:val="003B0A96"/>
    <w:rsid w:val="003B311C"/>
    <w:rsid w:val="003B3D07"/>
    <w:rsid w:val="003B6026"/>
    <w:rsid w:val="003C0316"/>
    <w:rsid w:val="003C292E"/>
    <w:rsid w:val="003C3E99"/>
    <w:rsid w:val="003C4DA8"/>
    <w:rsid w:val="003C6BFE"/>
    <w:rsid w:val="003D1473"/>
    <w:rsid w:val="003D4A88"/>
    <w:rsid w:val="003D5744"/>
    <w:rsid w:val="003D57C0"/>
    <w:rsid w:val="003D63E8"/>
    <w:rsid w:val="003D77A7"/>
    <w:rsid w:val="003E05D4"/>
    <w:rsid w:val="003E1CBA"/>
    <w:rsid w:val="003E4919"/>
    <w:rsid w:val="003E5F0F"/>
    <w:rsid w:val="003E6404"/>
    <w:rsid w:val="003F0025"/>
    <w:rsid w:val="003F16F3"/>
    <w:rsid w:val="003F318C"/>
    <w:rsid w:val="003F40F7"/>
    <w:rsid w:val="003F474B"/>
    <w:rsid w:val="003F4C13"/>
    <w:rsid w:val="003F4D37"/>
    <w:rsid w:val="004000C9"/>
    <w:rsid w:val="00401E77"/>
    <w:rsid w:val="00402357"/>
    <w:rsid w:val="0040467A"/>
    <w:rsid w:val="004046C6"/>
    <w:rsid w:val="0040675F"/>
    <w:rsid w:val="00406950"/>
    <w:rsid w:val="004114FA"/>
    <w:rsid w:val="00412FEF"/>
    <w:rsid w:val="0041564E"/>
    <w:rsid w:val="00415674"/>
    <w:rsid w:val="004156B6"/>
    <w:rsid w:val="00416AB9"/>
    <w:rsid w:val="0041746D"/>
    <w:rsid w:val="00417852"/>
    <w:rsid w:val="00417E20"/>
    <w:rsid w:val="00420825"/>
    <w:rsid w:val="00421CB7"/>
    <w:rsid w:val="00422272"/>
    <w:rsid w:val="00423A04"/>
    <w:rsid w:val="00425458"/>
    <w:rsid w:val="00427011"/>
    <w:rsid w:val="0042717D"/>
    <w:rsid w:val="004278B1"/>
    <w:rsid w:val="00427D7B"/>
    <w:rsid w:val="00430B68"/>
    <w:rsid w:val="0043107D"/>
    <w:rsid w:val="00433C90"/>
    <w:rsid w:val="0043568C"/>
    <w:rsid w:val="004363CD"/>
    <w:rsid w:val="004366A0"/>
    <w:rsid w:val="00437807"/>
    <w:rsid w:val="00441324"/>
    <w:rsid w:val="00443F3E"/>
    <w:rsid w:val="00444527"/>
    <w:rsid w:val="004466A7"/>
    <w:rsid w:val="00446E73"/>
    <w:rsid w:val="00447C94"/>
    <w:rsid w:val="004526D6"/>
    <w:rsid w:val="00453F37"/>
    <w:rsid w:val="00455C3E"/>
    <w:rsid w:val="00455E05"/>
    <w:rsid w:val="0046114E"/>
    <w:rsid w:val="00461AAA"/>
    <w:rsid w:val="00461BFE"/>
    <w:rsid w:val="00462DD5"/>
    <w:rsid w:val="004636E7"/>
    <w:rsid w:val="004644CA"/>
    <w:rsid w:val="0047083E"/>
    <w:rsid w:val="00470D4C"/>
    <w:rsid w:val="00472CE4"/>
    <w:rsid w:val="0047329E"/>
    <w:rsid w:val="004748D2"/>
    <w:rsid w:val="00475961"/>
    <w:rsid w:val="00477883"/>
    <w:rsid w:val="0048233E"/>
    <w:rsid w:val="00485564"/>
    <w:rsid w:val="00485DD2"/>
    <w:rsid w:val="004863A7"/>
    <w:rsid w:val="0048723F"/>
    <w:rsid w:val="004904DD"/>
    <w:rsid w:val="00490EA3"/>
    <w:rsid w:val="00491857"/>
    <w:rsid w:val="00492FCB"/>
    <w:rsid w:val="004A06A6"/>
    <w:rsid w:val="004A245F"/>
    <w:rsid w:val="004A4D51"/>
    <w:rsid w:val="004A7145"/>
    <w:rsid w:val="004A7CD2"/>
    <w:rsid w:val="004B11A8"/>
    <w:rsid w:val="004B39A2"/>
    <w:rsid w:val="004B3D50"/>
    <w:rsid w:val="004B5196"/>
    <w:rsid w:val="004B689B"/>
    <w:rsid w:val="004B6B4F"/>
    <w:rsid w:val="004B7881"/>
    <w:rsid w:val="004B7B16"/>
    <w:rsid w:val="004C19DE"/>
    <w:rsid w:val="004C2007"/>
    <w:rsid w:val="004C26B3"/>
    <w:rsid w:val="004C2F62"/>
    <w:rsid w:val="004C2FAC"/>
    <w:rsid w:val="004C417E"/>
    <w:rsid w:val="004C451E"/>
    <w:rsid w:val="004C5376"/>
    <w:rsid w:val="004C5673"/>
    <w:rsid w:val="004C65F6"/>
    <w:rsid w:val="004C7608"/>
    <w:rsid w:val="004D071E"/>
    <w:rsid w:val="004D11FA"/>
    <w:rsid w:val="004D17BD"/>
    <w:rsid w:val="004D21AF"/>
    <w:rsid w:val="004D2317"/>
    <w:rsid w:val="004D2F10"/>
    <w:rsid w:val="004D42FC"/>
    <w:rsid w:val="004D4C1B"/>
    <w:rsid w:val="004D551F"/>
    <w:rsid w:val="004D59AB"/>
    <w:rsid w:val="004E2DDB"/>
    <w:rsid w:val="004E2FC6"/>
    <w:rsid w:val="004E4912"/>
    <w:rsid w:val="004E5529"/>
    <w:rsid w:val="004E7A23"/>
    <w:rsid w:val="004F17BD"/>
    <w:rsid w:val="004F4736"/>
    <w:rsid w:val="004F49ED"/>
    <w:rsid w:val="004F4D5C"/>
    <w:rsid w:val="004F567D"/>
    <w:rsid w:val="004F5B27"/>
    <w:rsid w:val="004F7089"/>
    <w:rsid w:val="00502EC7"/>
    <w:rsid w:val="005034B8"/>
    <w:rsid w:val="0050557A"/>
    <w:rsid w:val="00505B88"/>
    <w:rsid w:val="005060EA"/>
    <w:rsid w:val="00506FF5"/>
    <w:rsid w:val="00512B22"/>
    <w:rsid w:val="00513105"/>
    <w:rsid w:val="00515E0A"/>
    <w:rsid w:val="005170D5"/>
    <w:rsid w:val="0052120D"/>
    <w:rsid w:val="00521214"/>
    <w:rsid w:val="00521428"/>
    <w:rsid w:val="005230CA"/>
    <w:rsid w:val="00523494"/>
    <w:rsid w:val="0052367F"/>
    <w:rsid w:val="00523DAB"/>
    <w:rsid w:val="00525FD8"/>
    <w:rsid w:val="00531A7C"/>
    <w:rsid w:val="00531D1F"/>
    <w:rsid w:val="0053305B"/>
    <w:rsid w:val="00533174"/>
    <w:rsid w:val="00534579"/>
    <w:rsid w:val="00535AE0"/>
    <w:rsid w:val="00535B52"/>
    <w:rsid w:val="00536188"/>
    <w:rsid w:val="00541A2F"/>
    <w:rsid w:val="005422CE"/>
    <w:rsid w:val="00543ABC"/>
    <w:rsid w:val="00544477"/>
    <w:rsid w:val="00545F29"/>
    <w:rsid w:val="0054636F"/>
    <w:rsid w:val="00546464"/>
    <w:rsid w:val="0055053C"/>
    <w:rsid w:val="00550579"/>
    <w:rsid w:val="00550A0F"/>
    <w:rsid w:val="0055170F"/>
    <w:rsid w:val="00551CCD"/>
    <w:rsid w:val="00552653"/>
    <w:rsid w:val="00554048"/>
    <w:rsid w:val="005549F4"/>
    <w:rsid w:val="00555375"/>
    <w:rsid w:val="005605E0"/>
    <w:rsid w:val="005605F3"/>
    <w:rsid w:val="00562055"/>
    <w:rsid w:val="005638E5"/>
    <w:rsid w:val="005678D0"/>
    <w:rsid w:val="0057288F"/>
    <w:rsid w:val="00572B04"/>
    <w:rsid w:val="00573755"/>
    <w:rsid w:val="00573A39"/>
    <w:rsid w:val="005740F4"/>
    <w:rsid w:val="00575953"/>
    <w:rsid w:val="00581C44"/>
    <w:rsid w:val="00581DCA"/>
    <w:rsid w:val="00583388"/>
    <w:rsid w:val="00583A94"/>
    <w:rsid w:val="005849FC"/>
    <w:rsid w:val="005873E5"/>
    <w:rsid w:val="00591024"/>
    <w:rsid w:val="0059255A"/>
    <w:rsid w:val="005941A5"/>
    <w:rsid w:val="00595E23"/>
    <w:rsid w:val="005975D8"/>
    <w:rsid w:val="00597BA6"/>
    <w:rsid w:val="005A0666"/>
    <w:rsid w:val="005A2263"/>
    <w:rsid w:val="005A3E4D"/>
    <w:rsid w:val="005A437B"/>
    <w:rsid w:val="005A6DA6"/>
    <w:rsid w:val="005B0776"/>
    <w:rsid w:val="005B0D35"/>
    <w:rsid w:val="005B1262"/>
    <w:rsid w:val="005B2C5D"/>
    <w:rsid w:val="005B3073"/>
    <w:rsid w:val="005B312D"/>
    <w:rsid w:val="005C1001"/>
    <w:rsid w:val="005C161F"/>
    <w:rsid w:val="005C2386"/>
    <w:rsid w:val="005C2B11"/>
    <w:rsid w:val="005C4464"/>
    <w:rsid w:val="005C6AF7"/>
    <w:rsid w:val="005D09FF"/>
    <w:rsid w:val="005D3E66"/>
    <w:rsid w:val="005D400E"/>
    <w:rsid w:val="005D67B2"/>
    <w:rsid w:val="005D6A73"/>
    <w:rsid w:val="005E1683"/>
    <w:rsid w:val="005E2944"/>
    <w:rsid w:val="005E31DA"/>
    <w:rsid w:val="005E4006"/>
    <w:rsid w:val="005E45BA"/>
    <w:rsid w:val="005E6DED"/>
    <w:rsid w:val="005F0225"/>
    <w:rsid w:val="005F2BB4"/>
    <w:rsid w:val="005F33A7"/>
    <w:rsid w:val="005F38A5"/>
    <w:rsid w:val="005F4E07"/>
    <w:rsid w:val="005F67F0"/>
    <w:rsid w:val="005F69C3"/>
    <w:rsid w:val="005F6FDB"/>
    <w:rsid w:val="005F717D"/>
    <w:rsid w:val="005F76E5"/>
    <w:rsid w:val="005F7B34"/>
    <w:rsid w:val="005F7FB8"/>
    <w:rsid w:val="00601BEC"/>
    <w:rsid w:val="00602081"/>
    <w:rsid w:val="00602F12"/>
    <w:rsid w:val="00603924"/>
    <w:rsid w:val="00604E57"/>
    <w:rsid w:val="00607BEE"/>
    <w:rsid w:val="00610E02"/>
    <w:rsid w:val="00610EB1"/>
    <w:rsid w:val="0061187A"/>
    <w:rsid w:val="00614896"/>
    <w:rsid w:val="00614AE6"/>
    <w:rsid w:val="00615E50"/>
    <w:rsid w:val="00616796"/>
    <w:rsid w:val="006176B3"/>
    <w:rsid w:val="006200E1"/>
    <w:rsid w:val="0062147F"/>
    <w:rsid w:val="00622217"/>
    <w:rsid w:val="0062430C"/>
    <w:rsid w:val="006250B3"/>
    <w:rsid w:val="00625C1E"/>
    <w:rsid w:val="00625C88"/>
    <w:rsid w:val="006279A7"/>
    <w:rsid w:val="00630706"/>
    <w:rsid w:val="006307AF"/>
    <w:rsid w:val="00632047"/>
    <w:rsid w:val="00632E76"/>
    <w:rsid w:val="00634862"/>
    <w:rsid w:val="00634F7B"/>
    <w:rsid w:val="006352CA"/>
    <w:rsid w:val="00636563"/>
    <w:rsid w:val="006365C1"/>
    <w:rsid w:val="00640C31"/>
    <w:rsid w:val="006410AD"/>
    <w:rsid w:val="00641962"/>
    <w:rsid w:val="00641A5C"/>
    <w:rsid w:val="006421F1"/>
    <w:rsid w:val="00642D32"/>
    <w:rsid w:val="00643D87"/>
    <w:rsid w:val="006453DF"/>
    <w:rsid w:val="00645812"/>
    <w:rsid w:val="00652B90"/>
    <w:rsid w:val="006533DD"/>
    <w:rsid w:val="00653751"/>
    <w:rsid w:val="00653D1C"/>
    <w:rsid w:val="00655C26"/>
    <w:rsid w:val="006612B7"/>
    <w:rsid w:val="0066167F"/>
    <w:rsid w:val="006639E5"/>
    <w:rsid w:val="006657C1"/>
    <w:rsid w:val="00666D5A"/>
    <w:rsid w:val="0066761F"/>
    <w:rsid w:val="00671FC6"/>
    <w:rsid w:val="00671FD7"/>
    <w:rsid w:val="00672B70"/>
    <w:rsid w:val="00672E43"/>
    <w:rsid w:val="006746C4"/>
    <w:rsid w:val="00676036"/>
    <w:rsid w:val="00677283"/>
    <w:rsid w:val="00677955"/>
    <w:rsid w:val="0068091B"/>
    <w:rsid w:val="006839FF"/>
    <w:rsid w:val="00683C43"/>
    <w:rsid w:val="00686E5D"/>
    <w:rsid w:val="00691383"/>
    <w:rsid w:val="006913BD"/>
    <w:rsid w:val="0069184E"/>
    <w:rsid w:val="00691D71"/>
    <w:rsid w:val="00691F36"/>
    <w:rsid w:val="0069305B"/>
    <w:rsid w:val="0069310E"/>
    <w:rsid w:val="006957AE"/>
    <w:rsid w:val="00697D08"/>
    <w:rsid w:val="006A16F5"/>
    <w:rsid w:val="006A19E4"/>
    <w:rsid w:val="006A2462"/>
    <w:rsid w:val="006A3672"/>
    <w:rsid w:val="006A483E"/>
    <w:rsid w:val="006A52E9"/>
    <w:rsid w:val="006A5CA7"/>
    <w:rsid w:val="006A7777"/>
    <w:rsid w:val="006A7E89"/>
    <w:rsid w:val="006B03EF"/>
    <w:rsid w:val="006B1075"/>
    <w:rsid w:val="006B1196"/>
    <w:rsid w:val="006B13FC"/>
    <w:rsid w:val="006B1B37"/>
    <w:rsid w:val="006B2447"/>
    <w:rsid w:val="006B42A4"/>
    <w:rsid w:val="006B6B4C"/>
    <w:rsid w:val="006C0068"/>
    <w:rsid w:val="006C0AB3"/>
    <w:rsid w:val="006C1529"/>
    <w:rsid w:val="006C225C"/>
    <w:rsid w:val="006C4266"/>
    <w:rsid w:val="006C46C8"/>
    <w:rsid w:val="006C491A"/>
    <w:rsid w:val="006C6589"/>
    <w:rsid w:val="006D0332"/>
    <w:rsid w:val="006D0653"/>
    <w:rsid w:val="006D0E7B"/>
    <w:rsid w:val="006D19CD"/>
    <w:rsid w:val="006D2729"/>
    <w:rsid w:val="006D6068"/>
    <w:rsid w:val="006D6B79"/>
    <w:rsid w:val="006E124F"/>
    <w:rsid w:val="006E1873"/>
    <w:rsid w:val="006E3328"/>
    <w:rsid w:val="006E358F"/>
    <w:rsid w:val="006E362B"/>
    <w:rsid w:val="006E3636"/>
    <w:rsid w:val="006E6BF1"/>
    <w:rsid w:val="006F21E2"/>
    <w:rsid w:val="006F325E"/>
    <w:rsid w:val="006F3481"/>
    <w:rsid w:val="006F4001"/>
    <w:rsid w:val="006F7F80"/>
    <w:rsid w:val="00701E30"/>
    <w:rsid w:val="00703C37"/>
    <w:rsid w:val="00703E19"/>
    <w:rsid w:val="00704718"/>
    <w:rsid w:val="00704E87"/>
    <w:rsid w:val="007052C1"/>
    <w:rsid w:val="00705D1E"/>
    <w:rsid w:val="007060F3"/>
    <w:rsid w:val="0070762E"/>
    <w:rsid w:val="00707715"/>
    <w:rsid w:val="007118CF"/>
    <w:rsid w:val="00711E29"/>
    <w:rsid w:val="00714D75"/>
    <w:rsid w:val="00714F57"/>
    <w:rsid w:val="00716B5C"/>
    <w:rsid w:val="0072008C"/>
    <w:rsid w:val="00720391"/>
    <w:rsid w:val="0072142F"/>
    <w:rsid w:val="007222B1"/>
    <w:rsid w:val="007227C6"/>
    <w:rsid w:val="00723BCB"/>
    <w:rsid w:val="0072574A"/>
    <w:rsid w:val="00725D9C"/>
    <w:rsid w:val="00727048"/>
    <w:rsid w:val="007270FA"/>
    <w:rsid w:val="0073250C"/>
    <w:rsid w:val="00732C14"/>
    <w:rsid w:val="00735961"/>
    <w:rsid w:val="00735982"/>
    <w:rsid w:val="00736059"/>
    <w:rsid w:val="007363AB"/>
    <w:rsid w:val="00736E48"/>
    <w:rsid w:val="00740243"/>
    <w:rsid w:val="00740713"/>
    <w:rsid w:val="007407A6"/>
    <w:rsid w:val="00740AEF"/>
    <w:rsid w:val="00740EB6"/>
    <w:rsid w:val="007412B6"/>
    <w:rsid w:val="00743A9E"/>
    <w:rsid w:val="0074435C"/>
    <w:rsid w:val="0074463D"/>
    <w:rsid w:val="00747CAF"/>
    <w:rsid w:val="00747EDA"/>
    <w:rsid w:val="007507F8"/>
    <w:rsid w:val="00751C06"/>
    <w:rsid w:val="007523E8"/>
    <w:rsid w:val="007527C5"/>
    <w:rsid w:val="00752E97"/>
    <w:rsid w:val="00756303"/>
    <w:rsid w:val="00757AD4"/>
    <w:rsid w:val="00760348"/>
    <w:rsid w:val="00760ABB"/>
    <w:rsid w:val="00761382"/>
    <w:rsid w:val="007622CD"/>
    <w:rsid w:val="00762D1A"/>
    <w:rsid w:val="007639AF"/>
    <w:rsid w:val="00763AC5"/>
    <w:rsid w:val="00764181"/>
    <w:rsid w:val="007647D5"/>
    <w:rsid w:val="00766C61"/>
    <w:rsid w:val="007673ED"/>
    <w:rsid w:val="0076771F"/>
    <w:rsid w:val="00767D9E"/>
    <w:rsid w:val="007709BF"/>
    <w:rsid w:val="007709D8"/>
    <w:rsid w:val="007733D3"/>
    <w:rsid w:val="00777763"/>
    <w:rsid w:val="0077777A"/>
    <w:rsid w:val="00781E14"/>
    <w:rsid w:val="0078240B"/>
    <w:rsid w:val="00783114"/>
    <w:rsid w:val="0078331F"/>
    <w:rsid w:val="00783895"/>
    <w:rsid w:val="00784B76"/>
    <w:rsid w:val="0078567A"/>
    <w:rsid w:val="00785C6D"/>
    <w:rsid w:val="00787F9B"/>
    <w:rsid w:val="0079005A"/>
    <w:rsid w:val="0079207D"/>
    <w:rsid w:val="00792E9F"/>
    <w:rsid w:val="00793898"/>
    <w:rsid w:val="00793C0C"/>
    <w:rsid w:val="00795AE3"/>
    <w:rsid w:val="00795B60"/>
    <w:rsid w:val="007967B5"/>
    <w:rsid w:val="00797F36"/>
    <w:rsid w:val="007A2337"/>
    <w:rsid w:val="007A2CE1"/>
    <w:rsid w:val="007A3994"/>
    <w:rsid w:val="007A47B1"/>
    <w:rsid w:val="007A6A22"/>
    <w:rsid w:val="007A70A4"/>
    <w:rsid w:val="007A7203"/>
    <w:rsid w:val="007B0C81"/>
    <w:rsid w:val="007B28B6"/>
    <w:rsid w:val="007B539F"/>
    <w:rsid w:val="007B5B56"/>
    <w:rsid w:val="007B5DA9"/>
    <w:rsid w:val="007C089E"/>
    <w:rsid w:val="007C3893"/>
    <w:rsid w:val="007C3E35"/>
    <w:rsid w:val="007C6D7A"/>
    <w:rsid w:val="007D0E37"/>
    <w:rsid w:val="007D3537"/>
    <w:rsid w:val="007D52BF"/>
    <w:rsid w:val="007D715D"/>
    <w:rsid w:val="007E1E3A"/>
    <w:rsid w:val="007E2BBE"/>
    <w:rsid w:val="007E3CC8"/>
    <w:rsid w:val="007E54BB"/>
    <w:rsid w:val="007E5975"/>
    <w:rsid w:val="007E6573"/>
    <w:rsid w:val="007E737A"/>
    <w:rsid w:val="007E7DEC"/>
    <w:rsid w:val="007F0874"/>
    <w:rsid w:val="007F0C3A"/>
    <w:rsid w:val="007F1E6F"/>
    <w:rsid w:val="007F3E0F"/>
    <w:rsid w:val="008007D7"/>
    <w:rsid w:val="008011FE"/>
    <w:rsid w:val="008026F7"/>
    <w:rsid w:val="00805B1C"/>
    <w:rsid w:val="0081049F"/>
    <w:rsid w:val="00810C76"/>
    <w:rsid w:val="00810E9B"/>
    <w:rsid w:val="00811F3D"/>
    <w:rsid w:val="008141C9"/>
    <w:rsid w:val="00814677"/>
    <w:rsid w:val="008163C4"/>
    <w:rsid w:val="00816D51"/>
    <w:rsid w:val="0082176A"/>
    <w:rsid w:val="00821AD6"/>
    <w:rsid w:val="00822F9B"/>
    <w:rsid w:val="008233A0"/>
    <w:rsid w:val="0082433F"/>
    <w:rsid w:val="0082436B"/>
    <w:rsid w:val="0082494D"/>
    <w:rsid w:val="00831245"/>
    <w:rsid w:val="00833BED"/>
    <w:rsid w:val="00836B3D"/>
    <w:rsid w:val="00837532"/>
    <w:rsid w:val="0083784E"/>
    <w:rsid w:val="008400BB"/>
    <w:rsid w:val="008413B2"/>
    <w:rsid w:val="0084407E"/>
    <w:rsid w:val="00844E84"/>
    <w:rsid w:val="00847AD9"/>
    <w:rsid w:val="00847D1E"/>
    <w:rsid w:val="00851C79"/>
    <w:rsid w:val="00852EBE"/>
    <w:rsid w:val="008532D7"/>
    <w:rsid w:val="00854399"/>
    <w:rsid w:val="00854B4B"/>
    <w:rsid w:val="008555FC"/>
    <w:rsid w:val="008558CE"/>
    <w:rsid w:val="008575B7"/>
    <w:rsid w:val="00860D56"/>
    <w:rsid w:val="0086100F"/>
    <w:rsid w:val="0086132F"/>
    <w:rsid w:val="00863161"/>
    <w:rsid w:val="00866C93"/>
    <w:rsid w:val="008672E6"/>
    <w:rsid w:val="008676AB"/>
    <w:rsid w:val="00871A99"/>
    <w:rsid w:val="008727D1"/>
    <w:rsid w:val="008730FC"/>
    <w:rsid w:val="008809B1"/>
    <w:rsid w:val="00880EF8"/>
    <w:rsid w:val="00881219"/>
    <w:rsid w:val="008842EE"/>
    <w:rsid w:val="00886299"/>
    <w:rsid w:val="00886E52"/>
    <w:rsid w:val="008925C1"/>
    <w:rsid w:val="008930F6"/>
    <w:rsid w:val="00895A1B"/>
    <w:rsid w:val="0089685A"/>
    <w:rsid w:val="0089787A"/>
    <w:rsid w:val="008A19DC"/>
    <w:rsid w:val="008A3556"/>
    <w:rsid w:val="008A4DC9"/>
    <w:rsid w:val="008A5A07"/>
    <w:rsid w:val="008A6A40"/>
    <w:rsid w:val="008B0B1F"/>
    <w:rsid w:val="008B1B54"/>
    <w:rsid w:val="008B44AB"/>
    <w:rsid w:val="008B5347"/>
    <w:rsid w:val="008B7BEC"/>
    <w:rsid w:val="008C1623"/>
    <w:rsid w:val="008C1A2C"/>
    <w:rsid w:val="008C29B6"/>
    <w:rsid w:val="008C2A19"/>
    <w:rsid w:val="008C2EB7"/>
    <w:rsid w:val="008C3ABA"/>
    <w:rsid w:val="008C45DD"/>
    <w:rsid w:val="008C6962"/>
    <w:rsid w:val="008C6BA4"/>
    <w:rsid w:val="008C7227"/>
    <w:rsid w:val="008D002A"/>
    <w:rsid w:val="008D04CA"/>
    <w:rsid w:val="008D14CD"/>
    <w:rsid w:val="008D270F"/>
    <w:rsid w:val="008D33BB"/>
    <w:rsid w:val="008D38A9"/>
    <w:rsid w:val="008D6BB0"/>
    <w:rsid w:val="008E031D"/>
    <w:rsid w:val="008E039F"/>
    <w:rsid w:val="008E1041"/>
    <w:rsid w:val="008E165B"/>
    <w:rsid w:val="008E2FA1"/>
    <w:rsid w:val="008E4F39"/>
    <w:rsid w:val="008E666C"/>
    <w:rsid w:val="008E7221"/>
    <w:rsid w:val="008F02F2"/>
    <w:rsid w:val="008F0CCA"/>
    <w:rsid w:val="008F24B0"/>
    <w:rsid w:val="008F2C89"/>
    <w:rsid w:val="008F373F"/>
    <w:rsid w:val="008F74B0"/>
    <w:rsid w:val="00900C2E"/>
    <w:rsid w:val="00901F1B"/>
    <w:rsid w:val="00903D60"/>
    <w:rsid w:val="0090466F"/>
    <w:rsid w:val="00906B62"/>
    <w:rsid w:val="00911EB1"/>
    <w:rsid w:val="00913EBB"/>
    <w:rsid w:val="009149C8"/>
    <w:rsid w:val="0091778A"/>
    <w:rsid w:val="00917E26"/>
    <w:rsid w:val="00917E44"/>
    <w:rsid w:val="0092044E"/>
    <w:rsid w:val="00922B25"/>
    <w:rsid w:val="00925589"/>
    <w:rsid w:val="00927B78"/>
    <w:rsid w:val="009305C6"/>
    <w:rsid w:val="00930A82"/>
    <w:rsid w:val="00933315"/>
    <w:rsid w:val="00935B30"/>
    <w:rsid w:val="00936027"/>
    <w:rsid w:val="009420BE"/>
    <w:rsid w:val="00942FF1"/>
    <w:rsid w:val="00944144"/>
    <w:rsid w:val="00944C89"/>
    <w:rsid w:val="00945D0D"/>
    <w:rsid w:val="009466A1"/>
    <w:rsid w:val="00946B42"/>
    <w:rsid w:val="00952617"/>
    <w:rsid w:val="00955DB2"/>
    <w:rsid w:val="00955FB1"/>
    <w:rsid w:val="009563DB"/>
    <w:rsid w:val="00960563"/>
    <w:rsid w:val="00962590"/>
    <w:rsid w:val="0096268D"/>
    <w:rsid w:val="00962EE6"/>
    <w:rsid w:val="009631C7"/>
    <w:rsid w:val="00963A2D"/>
    <w:rsid w:val="00963FB0"/>
    <w:rsid w:val="00964402"/>
    <w:rsid w:val="00965609"/>
    <w:rsid w:val="00966808"/>
    <w:rsid w:val="00966A6F"/>
    <w:rsid w:val="00967937"/>
    <w:rsid w:val="00967D86"/>
    <w:rsid w:val="009720B5"/>
    <w:rsid w:val="009721C8"/>
    <w:rsid w:val="00972730"/>
    <w:rsid w:val="00973F4E"/>
    <w:rsid w:val="009774DD"/>
    <w:rsid w:val="00977D8D"/>
    <w:rsid w:val="00981D73"/>
    <w:rsid w:val="00982A34"/>
    <w:rsid w:val="00983C59"/>
    <w:rsid w:val="00983F91"/>
    <w:rsid w:val="00984464"/>
    <w:rsid w:val="00984E1F"/>
    <w:rsid w:val="009873DD"/>
    <w:rsid w:val="009916F1"/>
    <w:rsid w:val="00991F55"/>
    <w:rsid w:val="00992169"/>
    <w:rsid w:val="009945ED"/>
    <w:rsid w:val="0099485B"/>
    <w:rsid w:val="009955BB"/>
    <w:rsid w:val="009964BD"/>
    <w:rsid w:val="00996558"/>
    <w:rsid w:val="009A0362"/>
    <w:rsid w:val="009A26EE"/>
    <w:rsid w:val="009A298A"/>
    <w:rsid w:val="009A4EDE"/>
    <w:rsid w:val="009A735E"/>
    <w:rsid w:val="009B2E8B"/>
    <w:rsid w:val="009B4D40"/>
    <w:rsid w:val="009B546C"/>
    <w:rsid w:val="009B6A69"/>
    <w:rsid w:val="009B7FB3"/>
    <w:rsid w:val="009C0321"/>
    <w:rsid w:val="009C1996"/>
    <w:rsid w:val="009C1BAF"/>
    <w:rsid w:val="009C2DC0"/>
    <w:rsid w:val="009C36E9"/>
    <w:rsid w:val="009C511E"/>
    <w:rsid w:val="009C6B88"/>
    <w:rsid w:val="009D1FEE"/>
    <w:rsid w:val="009D2292"/>
    <w:rsid w:val="009D2401"/>
    <w:rsid w:val="009E0DE6"/>
    <w:rsid w:val="009E173B"/>
    <w:rsid w:val="009E1F79"/>
    <w:rsid w:val="009E2415"/>
    <w:rsid w:val="009E2426"/>
    <w:rsid w:val="009E27C1"/>
    <w:rsid w:val="009E2971"/>
    <w:rsid w:val="009E2E9C"/>
    <w:rsid w:val="009E39BE"/>
    <w:rsid w:val="009E4DE3"/>
    <w:rsid w:val="009E523E"/>
    <w:rsid w:val="009E56E1"/>
    <w:rsid w:val="009E78D2"/>
    <w:rsid w:val="009F0BB6"/>
    <w:rsid w:val="009F31F4"/>
    <w:rsid w:val="009F5086"/>
    <w:rsid w:val="009F57EE"/>
    <w:rsid w:val="009F6F83"/>
    <w:rsid w:val="009F7F7C"/>
    <w:rsid w:val="00A011E5"/>
    <w:rsid w:val="00A0124B"/>
    <w:rsid w:val="00A01E4E"/>
    <w:rsid w:val="00A0480C"/>
    <w:rsid w:val="00A04DF7"/>
    <w:rsid w:val="00A060EE"/>
    <w:rsid w:val="00A07167"/>
    <w:rsid w:val="00A079D2"/>
    <w:rsid w:val="00A10507"/>
    <w:rsid w:val="00A10B91"/>
    <w:rsid w:val="00A11540"/>
    <w:rsid w:val="00A11D07"/>
    <w:rsid w:val="00A13026"/>
    <w:rsid w:val="00A138B3"/>
    <w:rsid w:val="00A145BA"/>
    <w:rsid w:val="00A14688"/>
    <w:rsid w:val="00A16E2F"/>
    <w:rsid w:val="00A217FB"/>
    <w:rsid w:val="00A22378"/>
    <w:rsid w:val="00A2304E"/>
    <w:rsid w:val="00A2400D"/>
    <w:rsid w:val="00A245BF"/>
    <w:rsid w:val="00A2481F"/>
    <w:rsid w:val="00A24A36"/>
    <w:rsid w:val="00A25663"/>
    <w:rsid w:val="00A25C9C"/>
    <w:rsid w:val="00A26467"/>
    <w:rsid w:val="00A31793"/>
    <w:rsid w:val="00A31854"/>
    <w:rsid w:val="00A32738"/>
    <w:rsid w:val="00A33F7F"/>
    <w:rsid w:val="00A356B2"/>
    <w:rsid w:val="00A36272"/>
    <w:rsid w:val="00A37BCC"/>
    <w:rsid w:val="00A37E9D"/>
    <w:rsid w:val="00A45A5D"/>
    <w:rsid w:val="00A4608D"/>
    <w:rsid w:val="00A46339"/>
    <w:rsid w:val="00A5021D"/>
    <w:rsid w:val="00A51117"/>
    <w:rsid w:val="00A5389D"/>
    <w:rsid w:val="00A54B6B"/>
    <w:rsid w:val="00A54BFD"/>
    <w:rsid w:val="00A56F44"/>
    <w:rsid w:val="00A57545"/>
    <w:rsid w:val="00A60A2C"/>
    <w:rsid w:val="00A60C2C"/>
    <w:rsid w:val="00A60C7C"/>
    <w:rsid w:val="00A62E89"/>
    <w:rsid w:val="00A65A3F"/>
    <w:rsid w:val="00A66360"/>
    <w:rsid w:val="00A66EA2"/>
    <w:rsid w:val="00A671E4"/>
    <w:rsid w:val="00A675DB"/>
    <w:rsid w:val="00A67EB4"/>
    <w:rsid w:val="00A70EB1"/>
    <w:rsid w:val="00A70F6D"/>
    <w:rsid w:val="00A71CDC"/>
    <w:rsid w:val="00A737D8"/>
    <w:rsid w:val="00A73B59"/>
    <w:rsid w:val="00A7607E"/>
    <w:rsid w:val="00A7673B"/>
    <w:rsid w:val="00A769D6"/>
    <w:rsid w:val="00A76D95"/>
    <w:rsid w:val="00A7770D"/>
    <w:rsid w:val="00A81119"/>
    <w:rsid w:val="00A8167F"/>
    <w:rsid w:val="00A83DF6"/>
    <w:rsid w:val="00A8420D"/>
    <w:rsid w:val="00A8594E"/>
    <w:rsid w:val="00A85F3F"/>
    <w:rsid w:val="00A85F9C"/>
    <w:rsid w:val="00A87F9B"/>
    <w:rsid w:val="00A91561"/>
    <w:rsid w:val="00A91FF4"/>
    <w:rsid w:val="00A92F1B"/>
    <w:rsid w:val="00A93FC6"/>
    <w:rsid w:val="00A967E4"/>
    <w:rsid w:val="00A971E8"/>
    <w:rsid w:val="00A97325"/>
    <w:rsid w:val="00AA22A7"/>
    <w:rsid w:val="00AA236F"/>
    <w:rsid w:val="00AA3DA2"/>
    <w:rsid w:val="00AA40BD"/>
    <w:rsid w:val="00AA516C"/>
    <w:rsid w:val="00AA5604"/>
    <w:rsid w:val="00AA5DEE"/>
    <w:rsid w:val="00AA7307"/>
    <w:rsid w:val="00AA7934"/>
    <w:rsid w:val="00AB09BC"/>
    <w:rsid w:val="00AB117D"/>
    <w:rsid w:val="00AB13B6"/>
    <w:rsid w:val="00AB1D4F"/>
    <w:rsid w:val="00AB2ECD"/>
    <w:rsid w:val="00AB3A1D"/>
    <w:rsid w:val="00AB73D3"/>
    <w:rsid w:val="00AB79C7"/>
    <w:rsid w:val="00AC0310"/>
    <w:rsid w:val="00AC3B6E"/>
    <w:rsid w:val="00AC3DC4"/>
    <w:rsid w:val="00AC45BE"/>
    <w:rsid w:val="00AC4E83"/>
    <w:rsid w:val="00AC6AC2"/>
    <w:rsid w:val="00AC7313"/>
    <w:rsid w:val="00AC7B31"/>
    <w:rsid w:val="00AD028C"/>
    <w:rsid w:val="00AD0B61"/>
    <w:rsid w:val="00AD414D"/>
    <w:rsid w:val="00AD5D6D"/>
    <w:rsid w:val="00AD5E6B"/>
    <w:rsid w:val="00AE0A63"/>
    <w:rsid w:val="00AE2031"/>
    <w:rsid w:val="00AE4617"/>
    <w:rsid w:val="00AE4943"/>
    <w:rsid w:val="00AE6372"/>
    <w:rsid w:val="00AF0DD0"/>
    <w:rsid w:val="00AF4459"/>
    <w:rsid w:val="00AF6738"/>
    <w:rsid w:val="00B0365D"/>
    <w:rsid w:val="00B03EE3"/>
    <w:rsid w:val="00B0593C"/>
    <w:rsid w:val="00B0671E"/>
    <w:rsid w:val="00B074AC"/>
    <w:rsid w:val="00B07DCE"/>
    <w:rsid w:val="00B11A1E"/>
    <w:rsid w:val="00B124C4"/>
    <w:rsid w:val="00B135F5"/>
    <w:rsid w:val="00B13741"/>
    <w:rsid w:val="00B1483D"/>
    <w:rsid w:val="00B1484A"/>
    <w:rsid w:val="00B21F5C"/>
    <w:rsid w:val="00B22189"/>
    <w:rsid w:val="00B22A77"/>
    <w:rsid w:val="00B27BDF"/>
    <w:rsid w:val="00B30F11"/>
    <w:rsid w:val="00B31A69"/>
    <w:rsid w:val="00B32AFD"/>
    <w:rsid w:val="00B33CED"/>
    <w:rsid w:val="00B348D1"/>
    <w:rsid w:val="00B34EFF"/>
    <w:rsid w:val="00B36C7A"/>
    <w:rsid w:val="00B3707C"/>
    <w:rsid w:val="00B37D7E"/>
    <w:rsid w:val="00B40A85"/>
    <w:rsid w:val="00B4128D"/>
    <w:rsid w:val="00B41AE4"/>
    <w:rsid w:val="00B43502"/>
    <w:rsid w:val="00B439E2"/>
    <w:rsid w:val="00B46D61"/>
    <w:rsid w:val="00B50A90"/>
    <w:rsid w:val="00B50D9B"/>
    <w:rsid w:val="00B51641"/>
    <w:rsid w:val="00B51A47"/>
    <w:rsid w:val="00B5350A"/>
    <w:rsid w:val="00B53D29"/>
    <w:rsid w:val="00B552E8"/>
    <w:rsid w:val="00B5597F"/>
    <w:rsid w:val="00B567C7"/>
    <w:rsid w:val="00B56CAE"/>
    <w:rsid w:val="00B5736D"/>
    <w:rsid w:val="00B605CC"/>
    <w:rsid w:val="00B623AC"/>
    <w:rsid w:val="00B626AE"/>
    <w:rsid w:val="00B63AD6"/>
    <w:rsid w:val="00B6687A"/>
    <w:rsid w:val="00B700BE"/>
    <w:rsid w:val="00B70A8C"/>
    <w:rsid w:val="00B73DCD"/>
    <w:rsid w:val="00B7474C"/>
    <w:rsid w:val="00B77072"/>
    <w:rsid w:val="00B803B1"/>
    <w:rsid w:val="00B80FA1"/>
    <w:rsid w:val="00B8172A"/>
    <w:rsid w:val="00B847A7"/>
    <w:rsid w:val="00B862B1"/>
    <w:rsid w:val="00B87CC8"/>
    <w:rsid w:val="00B92554"/>
    <w:rsid w:val="00B93EF5"/>
    <w:rsid w:val="00B95FD9"/>
    <w:rsid w:val="00B97FC3"/>
    <w:rsid w:val="00BA1576"/>
    <w:rsid w:val="00BA1BC9"/>
    <w:rsid w:val="00BA2780"/>
    <w:rsid w:val="00BA32AE"/>
    <w:rsid w:val="00BA3D9B"/>
    <w:rsid w:val="00BA3FA4"/>
    <w:rsid w:val="00BA511E"/>
    <w:rsid w:val="00BA5F47"/>
    <w:rsid w:val="00BA61B2"/>
    <w:rsid w:val="00BB08F1"/>
    <w:rsid w:val="00BB182B"/>
    <w:rsid w:val="00BB27D5"/>
    <w:rsid w:val="00BB2926"/>
    <w:rsid w:val="00BB3007"/>
    <w:rsid w:val="00BB37DB"/>
    <w:rsid w:val="00BB3AD4"/>
    <w:rsid w:val="00BB4849"/>
    <w:rsid w:val="00BC093A"/>
    <w:rsid w:val="00BC18E4"/>
    <w:rsid w:val="00BC2970"/>
    <w:rsid w:val="00BC2E70"/>
    <w:rsid w:val="00BC32C8"/>
    <w:rsid w:val="00BC38EE"/>
    <w:rsid w:val="00BC3BB7"/>
    <w:rsid w:val="00BC3E33"/>
    <w:rsid w:val="00BC4386"/>
    <w:rsid w:val="00BC4546"/>
    <w:rsid w:val="00BC6A69"/>
    <w:rsid w:val="00BC6D35"/>
    <w:rsid w:val="00BC71E9"/>
    <w:rsid w:val="00BC7B49"/>
    <w:rsid w:val="00BD0C48"/>
    <w:rsid w:val="00BD2373"/>
    <w:rsid w:val="00BD27A7"/>
    <w:rsid w:val="00BD27F9"/>
    <w:rsid w:val="00BD2D1B"/>
    <w:rsid w:val="00BD3A05"/>
    <w:rsid w:val="00BD4512"/>
    <w:rsid w:val="00BE311D"/>
    <w:rsid w:val="00BE5049"/>
    <w:rsid w:val="00BE6E16"/>
    <w:rsid w:val="00BE7C6A"/>
    <w:rsid w:val="00BF3D96"/>
    <w:rsid w:val="00BF3DAF"/>
    <w:rsid w:val="00BF56C9"/>
    <w:rsid w:val="00BF58DF"/>
    <w:rsid w:val="00C01D96"/>
    <w:rsid w:val="00C02F65"/>
    <w:rsid w:val="00C03C7C"/>
    <w:rsid w:val="00C0511A"/>
    <w:rsid w:val="00C06FCE"/>
    <w:rsid w:val="00C0769B"/>
    <w:rsid w:val="00C14773"/>
    <w:rsid w:val="00C20F04"/>
    <w:rsid w:val="00C21281"/>
    <w:rsid w:val="00C236F8"/>
    <w:rsid w:val="00C23C1D"/>
    <w:rsid w:val="00C2469C"/>
    <w:rsid w:val="00C2667E"/>
    <w:rsid w:val="00C2724D"/>
    <w:rsid w:val="00C30EE7"/>
    <w:rsid w:val="00C32742"/>
    <w:rsid w:val="00C32CED"/>
    <w:rsid w:val="00C34B4B"/>
    <w:rsid w:val="00C3631C"/>
    <w:rsid w:val="00C36C96"/>
    <w:rsid w:val="00C37725"/>
    <w:rsid w:val="00C414AD"/>
    <w:rsid w:val="00C4223C"/>
    <w:rsid w:val="00C438BE"/>
    <w:rsid w:val="00C4619D"/>
    <w:rsid w:val="00C474F6"/>
    <w:rsid w:val="00C47ACC"/>
    <w:rsid w:val="00C502C2"/>
    <w:rsid w:val="00C50BEF"/>
    <w:rsid w:val="00C52308"/>
    <w:rsid w:val="00C52385"/>
    <w:rsid w:val="00C529E3"/>
    <w:rsid w:val="00C52FAA"/>
    <w:rsid w:val="00C532A5"/>
    <w:rsid w:val="00C5387D"/>
    <w:rsid w:val="00C559D9"/>
    <w:rsid w:val="00C560C5"/>
    <w:rsid w:val="00C56374"/>
    <w:rsid w:val="00C579DB"/>
    <w:rsid w:val="00C61090"/>
    <w:rsid w:val="00C6205A"/>
    <w:rsid w:val="00C6264B"/>
    <w:rsid w:val="00C634E1"/>
    <w:rsid w:val="00C635A0"/>
    <w:rsid w:val="00C6429C"/>
    <w:rsid w:val="00C64781"/>
    <w:rsid w:val="00C64B8F"/>
    <w:rsid w:val="00C65207"/>
    <w:rsid w:val="00C65829"/>
    <w:rsid w:val="00C67110"/>
    <w:rsid w:val="00C67211"/>
    <w:rsid w:val="00C673E3"/>
    <w:rsid w:val="00C70BE1"/>
    <w:rsid w:val="00C73C50"/>
    <w:rsid w:val="00C73D11"/>
    <w:rsid w:val="00C7432A"/>
    <w:rsid w:val="00C80D06"/>
    <w:rsid w:val="00C8293F"/>
    <w:rsid w:val="00C84433"/>
    <w:rsid w:val="00C85E37"/>
    <w:rsid w:val="00C923D0"/>
    <w:rsid w:val="00C9289F"/>
    <w:rsid w:val="00C957DD"/>
    <w:rsid w:val="00C95DD8"/>
    <w:rsid w:val="00C97355"/>
    <w:rsid w:val="00C97996"/>
    <w:rsid w:val="00CA086D"/>
    <w:rsid w:val="00CA1E86"/>
    <w:rsid w:val="00CA37D0"/>
    <w:rsid w:val="00CA3945"/>
    <w:rsid w:val="00CA54AE"/>
    <w:rsid w:val="00CA55B7"/>
    <w:rsid w:val="00CA6650"/>
    <w:rsid w:val="00CB05B5"/>
    <w:rsid w:val="00CB1220"/>
    <w:rsid w:val="00CB2F3B"/>
    <w:rsid w:val="00CB3A61"/>
    <w:rsid w:val="00CB4527"/>
    <w:rsid w:val="00CB5736"/>
    <w:rsid w:val="00CB59DF"/>
    <w:rsid w:val="00CC0885"/>
    <w:rsid w:val="00CC0915"/>
    <w:rsid w:val="00CC2845"/>
    <w:rsid w:val="00CC4105"/>
    <w:rsid w:val="00CC4845"/>
    <w:rsid w:val="00CC549B"/>
    <w:rsid w:val="00CC7FE0"/>
    <w:rsid w:val="00CD1980"/>
    <w:rsid w:val="00CD2589"/>
    <w:rsid w:val="00CD27AF"/>
    <w:rsid w:val="00CE0561"/>
    <w:rsid w:val="00CE3C1E"/>
    <w:rsid w:val="00CE3CD4"/>
    <w:rsid w:val="00CE44FF"/>
    <w:rsid w:val="00CE49CB"/>
    <w:rsid w:val="00CE54A4"/>
    <w:rsid w:val="00CF0DE1"/>
    <w:rsid w:val="00CF2CC3"/>
    <w:rsid w:val="00CF2FB8"/>
    <w:rsid w:val="00CF38DB"/>
    <w:rsid w:val="00CF6DF7"/>
    <w:rsid w:val="00D01C14"/>
    <w:rsid w:val="00D03B8A"/>
    <w:rsid w:val="00D04439"/>
    <w:rsid w:val="00D04AF8"/>
    <w:rsid w:val="00D04EE4"/>
    <w:rsid w:val="00D05A94"/>
    <w:rsid w:val="00D05DF2"/>
    <w:rsid w:val="00D07286"/>
    <w:rsid w:val="00D07883"/>
    <w:rsid w:val="00D112E7"/>
    <w:rsid w:val="00D117DB"/>
    <w:rsid w:val="00D13158"/>
    <w:rsid w:val="00D17347"/>
    <w:rsid w:val="00D20D78"/>
    <w:rsid w:val="00D21215"/>
    <w:rsid w:val="00D22A5A"/>
    <w:rsid w:val="00D252D3"/>
    <w:rsid w:val="00D264A2"/>
    <w:rsid w:val="00D30145"/>
    <w:rsid w:val="00D308A6"/>
    <w:rsid w:val="00D31B07"/>
    <w:rsid w:val="00D34FD2"/>
    <w:rsid w:val="00D3512B"/>
    <w:rsid w:val="00D3723B"/>
    <w:rsid w:val="00D37654"/>
    <w:rsid w:val="00D37DF1"/>
    <w:rsid w:val="00D426CF"/>
    <w:rsid w:val="00D42E0F"/>
    <w:rsid w:val="00D42F59"/>
    <w:rsid w:val="00D448D3"/>
    <w:rsid w:val="00D45655"/>
    <w:rsid w:val="00D46821"/>
    <w:rsid w:val="00D4756E"/>
    <w:rsid w:val="00D47724"/>
    <w:rsid w:val="00D47A5E"/>
    <w:rsid w:val="00D50A6F"/>
    <w:rsid w:val="00D51608"/>
    <w:rsid w:val="00D54A9C"/>
    <w:rsid w:val="00D54B51"/>
    <w:rsid w:val="00D5549E"/>
    <w:rsid w:val="00D55748"/>
    <w:rsid w:val="00D56F1F"/>
    <w:rsid w:val="00D6039E"/>
    <w:rsid w:val="00D6141F"/>
    <w:rsid w:val="00D61A00"/>
    <w:rsid w:val="00D6299E"/>
    <w:rsid w:val="00D643BC"/>
    <w:rsid w:val="00D65C3F"/>
    <w:rsid w:val="00D675DF"/>
    <w:rsid w:val="00D724D8"/>
    <w:rsid w:val="00D73BB5"/>
    <w:rsid w:val="00D7795F"/>
    <w:rsid w:val="00D814FF"/>
    <w:rsid w:val="00D82246"/>
    <w:rsid w:val="00D8230B"/>
    <w:rsid w:val="00D82549"/>
    <w:rsid w:val="00D83568"/>
    <w:rsid w:val="00D83708"/>
    <w:rsid w:val="00D85E68"/>
    <w:rsid w:val="00D860D7"/>
    <w:rsid w:val="00D86988"/>
    <w:rsid w:val="00D873C6"/>
    <w:rsid w:val="00D87766"/>
    <w:rsid w:val="00D87E07"/>
    <w:rsid w:val="00D90306"/>
    <w:rsid w:val="00D91677"/>
    <w:rsid w:val="00D94154"/>
    <w:rsid w:val="00D96618"/>
    <w:rsid w:val="00DA1D1E"/>
    <w:rsid w:val="00DA22C8"/>
    <w:rsid w:val="00DA2FC2"/>
    <w:rsid w:val="00DA545C"/>
    <w:rsid w:val="00DB0636"/>
    <w:rsid w:val="00DB09F3"/>
    <w:rsid w:val="00DB265B"/>
    <w:rsid w:val="00DB2A38"/>
    <w:rsid w:val="00DB3E8B"/>
    <w:rsid w:val="00DB55F5"/>
    <w:rsid w:val="00DB7CED"/>
    <w:rsid w:val="00DC00E0"/>
    <w:rsid w:val="00DC05D9"/>
    <w:rsid w:val="00DC1804"/>
    <w:rsid w:val="00DC37C9"/>
    <w:rsid w:val="00DC45D2"/>
    <w:rsid w:val="00DC4D4E"/>
    <w:rsid w:val="00DC5271"/>
    <w:rsid w:val="00DC5673"/>
    <w:rsid w:val="00DC5D1C"/>
    <w:rsid w:val="00DC691A"/>
    <w:rsid w:val="00DC7B67"/>
    <w:rsid w:val="00DC7FE7"/>
    <w:rsid w:val="00DD1225"/>
    <w:rsid w:val="00DD292B"/>
    <w:rsid w:val="00DD2B89"/>
    <w:rsid w:val="00DD4646"/>
    <w:rsid w:val="00DD5995"/>
    <w:rsid w:val="00DD5CE7"/>
    <w:rsid w:val="00DD721B"/>
    <w:rsid w:val="00DD77CB"/>
    <w:rsid w:val="00DE036E"/>
    <w:rsid w:val="00DE1067"/>
    <w:rsid w:val="00DE327D"/>
    <w:rsid w:val="00DE573A"/>
    <w:rsid w:val="00DF1434"/>
    <w:rsid w:val="00DF20EB"/>
    <w:rsid w:val="00DF261E"/>
    <w:rsid w:val="00DF2B9E"/>
    <w:rsid w:val="00DF4A95"/>
    <w:rsid w:val="00DF5CF4"/>
    <w:rsid w:val="00DF6993"/>
    <w:rsid w:val="00E00655"/>
    <w:rsid w:val="00E01350"/>
    <w:rsid w:val="00E017DE"/>
    <w:rsid w:val="00E03229"/>
    <w:rsid w:val="00E03632"/>
    <w:rsid w:val="00E043F1"/>
    <w:rsid w:val="00E05380"/>
    <w:rsid w:val="00E05C71"/>
    <w:rsid w:val="00E10675"/>
    <w:rsid w:val="00E10D9E"/>
    <w:rsid w:val="00E121B8"/>
    <w:rsid w:val="00E122D7"/>
    <w:rsid w:val="00E12DCD"/>
    <w:rsid w:val="00E1346E"/>
    <w:rsid w:val="00E14E1F"/>
    <w:rsid w:val="00E14FD8"/>
    <w:rsid w:val="00E15257"/>
    <w:rsid w:val="00E16535"/>
    <w:rsid w:val="00E166FE"/>
    <w:rsid w:val="00E17576"/>
    <w:rsid w:val="00E20BA8"/>
    <w:rsid w:val="00E21F24"/>
    <w:rsid w:val="00E231C4"/>
    <w:rsid w:val="00E23461"/>
    <w:rsid w:val="00E24367"/>
    <w:rsid w:val="00E2571C"/>
    <w:rsid w:val="00E27B54"/>
    <w:rsid w:val="00E27CB1"/>
    <w:rsid w:val="00E30BBA"/>
    <w:rsid w:val="00E30E23"/>
    <w:rsid w:val="00E31D44"/>
    <w:rsid w:val="00E31F89"/>
    <w:rsid w:val="00E32314"/>
    <w:rsid w:val="00E33454"/>
    <w:rsid w:val="00E3407F"/>
    <w:rsid w:val="00E344BC"/>
    <w:rsid w:val="00E34D7C"/>
    <w:rsid w:val="00E375A5"/>
    <w:rsid w:val="00E40324"/>
    <w:rsid w:val="00E41507"/>
    <w:rsid w:val="00E4222F"/>
    <w:rsid w:val="00E42D94"/>
    <w:rsid w:val="00E44233"/>
    <w:rsid w:val="00E45CA3"/>
    <w:rsid w:val="00E463E3"/>
    <w:rsid w:val="00E470A3"/>
    <w:rsid w:val="00E47491"/>
    <w:rsid w:val="00E478FC"/>
    <w:rsid w:val="00E54192"/>
    <w:rsid w:val="00E54759"/>
    <w:rsid w:val="00E5563E"/>
    <w:rsid w:val="00E6254B"/>
    <w:rsid w:val="00E62BB8"/>
    <w:rsid w:val="00E633C7"/>
    <w:rsid w:val="00E63D3B"/>
    <w:rsid w:val="00E64A8D"/>
    <w:rsid w:val="00E66C2A"/>
    <w:rsid w:val="00E66FE8"/>
    <w:rsid w:val="00E67819"/>
    <w:rsid w:val="00E67D0D"/>
    <w:rsid w:val="00E70AD4"/>
    <w:rsid w:val="00E748BC"/>
    <w:rsid w:val="00E77E97"/>
    <w:rsid w:val="00E80302"/>
    <w:rsid w:val="00E81F3F"/>
    <w:rsid w:val="00E83C95"/>
    <w:rsid w:val="00E84067"/>
    <w:rsid w:val="00E8476A"/>
    <w:rsid w:val="00E84C97"/>
    <w:rsid w:val="00E8522B"/>
    <w:rsid w:val="00E859D1"/>
    <w:rsid w:val="00E8615E"/>
    <w:rsid w:val="00E90079"/>
    <w:rsid w:val="00E921B7"/>
    <w:rsid w:val="00E92B0F"/>
    <w:rsid w:val="00E961D1"/>
    <w:rsid w:val="00E9778D"/>
    <w:rsid w:val="00EA5903"/>
    <w:rsid w:val="00EB1937"/>
    <w:rsid w:val="00EB2066"/>
    <w:rsid w:val="00EB3611"/>
    <w:rsid w:val="00EB3A3D"/>
    <w:rsid w:val="00EB41C5"/>
    <w:rsid w:val="00EB583D"/>
    <w:rsid w:val="00EB635E"/>
    <w:rsid w:val="00EB7783"/>
    <w:rsid w:val="00EB7A7F"/>
    <w:rsid w:val="00EC2B55"/>
    <w:rsid w:val="00EC32BD"/>
    <w:rsid w:val="00EC577C"/>
    <w:rsid w:val="00EC5C26"/>
    <w:rsid w:val="00EC5FA3"/>
    <w:rsid w:val="00ED0E75"/>
    <w:rsid w:val="00ED4B84"/>
    <w:rsid w:val="00ED74FB"/>
    <w:rsid w:val="00EE01DE"/>
    <w:rsid w:val="00EE170B"/>
    <w:rsid w:val="00EE18C2"/>
    <w:rsid w:val="00EE376B"/>
    <w:rsid w:val="00EE59FC"/>
    <w:rsid w:val="00EE5CFD"/>
    <w:rsid w:val="00EE7D5B"/>
    <w:rsid w:val="00EF142E"/>
    <w:rsid w:val="00EF48D2"/>
    <w:rsid w:val="00EF664F"/>
    <w:rsid w:val="00EF7889"/>
    <w:rsid w:val="00EF7EFC"/>
    <w:rsid w:val="00EF7F08"/>
    <w:rsid w:val="00F00FE0"/>
    <w:rsid w:val="00F012E0"/>
    <w:rsid w:val="00F02DC2"/>
    <w:rsid w:val="00F02E1D"/>
    <w:rsid w:val="00F04BBD"/>
    <w:rsid w:val="00F050EF"/>
    <w:rsid w:val="00F07D1E"/>
    <w:rsid w:val="00F11995"/>
    <w:rsid w:val="00F122EC"/>
    <w:rsid w:val="00F13E0B"/>
    <w:rsid w:val="00F1793C"/>
    <w:rsid w:val="00F200E2"/>
    <w:rsid w:val="00F2287B"/>
    <w:rsid w:val="00F22FD6"/>
    <w:rsid w:val="00F25628"/>
    <w:rsid w:val="00F262A3"/>
    <w:rsid w:val="00F2691D"/>
    <w:rsid w:val="00F2710F"/>
    <w:rsid w:val="00F34255"/>
    <w:rsid w:val="00F3531C"/>
    <w:rsid w:val="00F36913"/>
    <w:rsid w:val="00F37024"/>
    <w:rsid w:val="00F37327"/>
    <w:rsid w:val="00F40485"/>
    <w:rsid w:val="00F40DCE"/>
    <w:rsid w:val="00F41F32"/>
    <w:rsid w:val="00F430E1"/>
    <w:rsid w:val="00F43766"/>
    <w:rsid w:val="00F4445C"/>
    <w:rsid w:val="00F45A99"/>
    <w:rsid w:val="00F47245"/>
    <w:rsid w:val="00F51253"/>
    <w:rsid w:val="00F51521"/>
    <w:rsid w:val="00F517E0"/>
    <w:rsid w:val="00F52BC0"/>
    <w:rsid w:val="00F52E23"/>
    <w:rsid w:val="00F532A0"/>
    <w:rsid w:val="00F5345B"/>
    <w:rsid w:val="00F53EEB"/>
    <w:rsid w:val="00F5507A"/>
    <w:rsid w:val="00F57947"/>
    <w:rsid w:val="00F60A8E"/>
    <w:rsid w:val="00F61226"/>
    <w:rsid w:val="00F616F6"/>
    <w:rsid w:val="00F62DF3"/>
    <w:rsid w:val="00F65B65"/>
    <w:rsid w:val="00F6638C"/>
    <w:rsid w:val="00F66C05"/>
    <w:rsid w:val="00F67073"/>
    <w:rsid w:val="00F67E46"/>
    <w:rsid w:val="00F70107"/>
    <w:rsid w:val="00F72728"/>
    <w:rsid w:val="00F74D23"/>
    <w:rsid w:val="00F753DA"/>
    <w:rsid w:val="00F75990"/>
    <w:rsid w:val="00F75F8B"/>
    <w:rsid w:val="00F76E15"/>
    <w:rsid w:val="00F77520"/>
    <w:rsid w:val="00F805D9"/>
    <w:rsid w:val="00F82075"/>
    <w:rsid w:val="00F8352C"/>
    <w:rsid w:val="00F85228"/>
    <w:rsid w:val="00F873A3"/>
    <w:rsid w:val="00F9514A"/>
    <w:rsid w:val="00F97689"/>
    <w:rsid w:val="00FA1C0A"/>
    <w:rsid w:val="00FA23BB"/>
    <w:rsid w:val="00FA2792"/>
    <w:rsid w:val="00FA47C9"/>
    <w:rsid w:val="00FA59F6"/>
    <w:rsid w:val="00FA62F2"/>
    <w:rsid w:val="00FA77DB"/>
    <w:rsid w:val="00FB02D9"/>
    <w:rsid w:val="00FB0F46"/>
    <w:rsid w:val="00FB2AEB"/>
    <w:rsid w:val="00FB2DE6"/>
    <w:rsid w:val="00FB4213"/>
    <w:rsid w:val="00FB486C"/>
    <w:rsid w:val="00FB5087"/>
    <w:rsid w:val="00FB542E"/>
    <w:rsid w:val="00FB66B6"/>
    <w:rsid w:val="00FB71BE"/>
    <w:rsid w:val="00FC0E1B"/>
    <w:rsid w:val="00FC25E6"/>
    <w:rsid w:val="00FC28F9"/>
    <w:rsid w:val="00FC60A1"/>
    <w:rsid w:val="00FC73FD"/>
    <w:rsid w:val="00FD031E"/>
    <w:rsid w:val="00FD0E9A"/>
    <w:rsid w:val="00FD2045"/>
    <w:rsid w:val="00FD372C"/>
    <w:rsid w:val="00FD3BEC"/>
    <w:rsid w:val="00FD4DDB"/>
    <w:rsid w:val="00FD6AE4"/>
    <w:rsid w:val="00FE378B"/>
    <w:rsid w:val="00FE45E3"/>
    <w:rsid w:val="00FE4899"/>
    <w:rsid w:val="00FE48C4"/>
    <w:rsid w:val="00FE6544"/>
    <w:rsid w:val="00FE67C2"/>
    <w:rsid w:val="00FE6994"/>
    <w:rsid w:val="00FE7E17"/>
    <w:rsid w:val="00FF02CE"/>
    <w:rsid w:val="00FF1670"/>
    <w:rsid w:val="00FF1AC0"/>
    <w:rsid w:val="00FF3338"/>
    <w:rsid w:val="00FF3D23"/>
    <w:rsid w:val="00FF7DD6"/>
    <w:rsid w:val="01085450"/>
    <w:rsid w:val="0113095C"/>
    <w:rsid w:val="015A623D"/>
    <w:rsid w:val="017771B7"/>
    <w:rsid w:val="02357906"/>
    <w:rsid w:val="02507E54"/>
    <w:rsid w:val="02536862"/>
    <w:rsid w:val="026805C7"/>
    <w:rsid w:val="02803646"/>
    <w:rsid w:val="028B6383"/>
    <w:rsid w:val="02CA3495"/>
    <w:rsid w:val="02CE19BD"/>
    <w:rsid w:val="02F2443B"/>
    <w:rsid w:val="030204D1"/>
    <w:rsid w:val="031422DE"/>
    <w:rsid w:val="032318D4"/>
    <w:rsid w:val="033A37A8"/>
    <w:rsid w:val="03964ECA"/>
    <w:rsid w:val="03A67E27"/>
    <w:rsid w:val="03D64AFE"/>
    <w:rsid w:val="03ED5678"/>
    <w:rsid w:val="043F7544"/>
    <w:rsid w:val="046571CC"/>
    <w:rsid w:val="04855241"/>
    <w:rsid w:val="04A67948"/>
    <w:rsid w:val="04CA7879"/>
    <w:rsid w:val="050F08D9"/>
    <w:rsid w:val="05156E3F"/>
    <w:rsid w:val="05271B2B"/>
    <w:rsid w:val="05283E73"/>
    <w:rsid w:val="05473251"/>
    <w:rsid w:val="05794828"/>
    <w:rsid w:val="05AF4ED2"/>
    <w:rsid w:val="05C47F5B"/>
    <w:rsid w:val="05D84EED"/>
    <w:rsid w:val="05E70448"/>
    <w:rsid w:val="05EA4A5D"/>
    <w:rsid w:val="05F41936"/>
    <w:rsid w:val="06014492"/>
    <w:rsid w:val="060E3FBA"/>
    <w:rsid w:val="06267639"/>
    <w:rsid w:val="06303C2F"/>
    <w:rsid w:val="063D4603"/>
    <w:rsid w:val="069D27D5"/>
    <w:rsid w:val="06E74661"/>
    <w:rsid w:val="06EE3BEF"/>
    <w:rsid w:val="070443C2"/>
    <w:rsid w:val="07131A24"/>
    <w:rsid w:val="076F32F7"/>
    <w:rsid w:val="07FD57CB"/>
    <w:rsid w:val="08287716"/>
    <w:rsid w:val="08552F16"/>
    <w:rsid w:val="08704278"/>
    <w:rsid w:val="089827AB"/>
    <w:rsid w:val="08AC0357"/>
    <w:rsid w:val="08EA0E0E"/>
    <w:rsid w:val="09111E12"/>
    <w:rsid w:val="099F634D"/>
    <w:rsid w:val="09B14D9C"/>
    <w:rsid w:val="09E13A5A"/>
    <w:rsid w:val="0A023492"/>
    <w:rsid w:val="0A037B6A"/>
    <w:rsid w:val="0A6039CC"/>
    <w:rsid w:val="0A612E89"/>
    <w:rsid w:val="0A927CF9"/>
    <w:rsid w:val="0AB1318E"/>
    <w:rsid w:val="0AC92109"/>
    <w:rsid w:val="0AFD3467"/>
    <w:rsid w:val="0B1B6B5C"/>
    <w:rsid w:val="0B2811FE"/>
    <w:rsid w:val="0B2918A9"/>
    <w:rsid w:val="0B2F33B1"/>
    <w:rsid w:val="0B3819CA"/>
    <w:rsid w:val="0B3D5ADE"/>
    <w:rsid w:val="0BDC7B99"/>
    <w:rsid w:val="0BFC334E"/>
    <w:rsid w:val="0C23553B"/>
    <w:rsid w:val="0C903728"/>
    <w:rsid w:val="0CA1496D"/>
    <w:rsid w:val="0CC73912"/>
    <w:rsid w:val="0CE320D2"/>
    <w:rsid w:val="0CF03539"/>
    <w:rsid w:val="0CFA1768"/>
    <w:rsid w:val="0D2E4528"/>
    <w:rsid w:val="0D324491"/>
    <w:rsid w:val="0D7C5425"/>
    <w:rsid w:val="0DA95301"/>
    <w:rsid w:val="0DAA5230"/>
    <w:rsid w:val="0DCC7BFB"/>
    <w:rsid w:val="0DE324EB"/>
    <w:rsid w:val="0DE54E7A"/>
    <w:rsid w:val="0E014D20"/>
    <w:rsid w:val="0E312B9A"/>
    <w:rsid w:val="0E6C2B12"/>
    <w:rsid w:val="0E964A8B"/>
    <w:rsid w:val="0EA6071F"/>
    <w:rsid w:val="0EC3333F"/>
    <w:rsid w:val="0ED420BA"/>
    <w:rsid w:val="0EE50FCE"/>
    <w:rsid w:val="0EF27294"/>
    <w:rsid w:val="0F632F5F"/>
    <w:rsid w:val="0F843306"/>
    <w:rsid w:val="0F9D58EA"/>
    <w:rsid w:val="0FE7578C"/>
    <w:rsid w:val="10151DD1"/>
    <w:rsid w:val="102F1315"/>
    <w:rsid w:val="10305756"/>
    <w:rsid w:val="103F2490"/>
    <w:rsid w:val="10526C7C"/>
    <w:rsid w:val="106A709D"/>
    <w:rsid w:val="109649A6"/>
    <w:rsid w:val="10BE09D1"/>
    <w:rsid w:val="10BE0C2F"/>
    <w:rsid w:val="10E73C10"/>
    <w:rsid w:val="10E743E4"/>
    <w:rsid w:val="10F734C9"/>
    <w:rsid w:val="10F8442D"/>
    <w:rsid w:val="113B6C8C"/>
    <w:rsid w:val="11464C8C"/>
    <w:rsid w:val="114A658D"/>
    <w:rsid w:val="114E3D07"/>
    <w:rsid w:val="11583666"/>
    <w:rsid w:val="11663112"/>
    <w:rsid w:val="1167083B"/>
    <w:rsid w:val="119075CC"/>
    <w:rsid w:val="11BD42D0"/>
    <w:rsid w:val="12056455"/>
    <w:rsid w:val="1244288A"/>
    <w:rsid w:val="12BB1845"/>
    <w:rsid w:val="13155BC0"/>
    <w:rsid w:val="13461015"/>
    <w:rsid w:val="138820EB"/>
    <w:rsid w:val="13935857"/>
    <w:rsid w:val="13AE7964"/>
    <w:rsid w:val="13DF7F88"/>
    <w:rsid w:val="13EE180C"/>
    <w:rsid w:val="14070031"/>
    <w:rsid w:val="140B4C2E"/>
    <w:rsid w:val="148461DB"/>
    <w:rsid w:val="14A87130"/>
    <w:rsid w:val="14CA4E14"/>
    <w:rsid w:val="151203AA"/>
    <w:rsid w:val="154357AA"/>
    <w:rsid w:val="155E5CF8"/>
    <w:rsid w:val="159452FC"/>
    <w:rsid w:val="15A90FF7"/>
    <w:rsid w:val="15AF57B1"/>
    <w:rsid w:val="15B6056F"/>
    <w:rsid w:val="15E06339"/>
    <w:rsid w:val="15EA4A1D"/>
    <w:rsid w:val="160408D7"/>
    <w:rsid w:val="161B51EE"/>
    <w:rsid w:val="161C4D1B"/>
    <w:rsid w:val="16316CCC"/>
    <w:rsid w:val="167654E6"/>
    <w:rsid w:val="167E2CBC"/>
    <w:rsid w:val="16947118"/>
    <w:rsid w:val="1697327C"/>
    <w:rsid w:val="1698076C"/>
    <w:rsid w:val="16C75B1C"/>
    <w:rsid w:val="16F35B11"/>
    <w:rsid w:val="16F526E9"/>
    <w:rsid w:val="171B0554"/>
    <w:rsid w:val="173F0942"/>
    <w:rsid w:val="174D3084"/>
    <w:rsid w:val="17C31AE8"/>
    <w:rsid w:val="18232DDA"/>
    <w:rsid w:val="18350420"/>
    <w:rsid w:val="18586BD5"/>
    <w:rsid w:val="18905C11"/>
    <w:rsid w:val="189472E7"/>
    <w:rsid w:val="18E71B82"/>
    <w:rsid w:val="18FB3FF3"/>
    <w:rsid w:val="19156425"/>
    <w:rsid w:val="194862E0"/>
    <w:rsid w:val="19C46912"/>
    <w:rsid w:val="19DF5E1B"/>
    <w:rsid w:val="1A113B07"/>
    <w:rsid w:val="1A305973"/>
    <w:rsid w:val="1A424166"/>
    <w:rsid w:val="1A427776"/>
    <w:rsid w:val="1ACE3C50"/>
    <w:rsid w:val="1AD663F9"/>
    <w:rsid w:val="1B0B7375"/>
    <w:rsid w:val="1B1A352E"/>
    <w:rsid w:val="1B1E4293"/>
    <w:rsid w:val="1B5F50ED"/>
    <w:rsid w:val="1B803771"/>
    <w:rsid w:val="1B815C20"/>
    <w:rsid w:val="1BA51925"/>
    <w:rsid w:val="1BB16DC3"/>
    <w:rsid w:val="1BBE3145"/>
    <w:rsid w:val="1BC246E0"/>
    <w:rsid w:val="1BC739F3"/>
    <w:rsid w:val="1BDA110E"/>
    <w:rsid w:val="1BE3612D"/>
    <w:rsid w:val="1C0C0A18"/>
    <w:rsid w:val="1C2A0577"/>
    <w:rsid w:val="1C403E1D"/>
    <w:rsid w:val="1C655338"/>
    <w:rsid w:val="1C8C3782"/>
    <w:rsid w:val="1C9047AA"/>
    <w:rsid w:val="1CBA20E7"/>
    <w:rsid w:val="1CD07D9F"/>
    <w:rsid w:val="1CE04E05"/>
    <w:rsid w:val="1CE2136C"/>
    <w:rsid w:val="1CEF7C66"/>
    <w:rsid w:val="1D054582"/>
    <w:rsid w:val="1D2A7D7B"/>
    <w:rsid w:val="1D7D2039"/>
    <w:rsid w:val="1DE12F76"/>
    <w:rsid w:val="1E0F0011"/>
    <w:rsid w:val="1E4130AB"/>
    <w:rsid w:val="1E4D4CA7"/>
    <w:rsid w:val="1E7F2C6C"/>
    <w:rsid w:val="1E846D00"/>
    <w:rsid w:val="1EB920B6"/>
    <w:rsid w:val="1EBD664A"/>
    <w:rsid w:val="1ED67456"/>
    <w:rsid w:val="1EE02B5F"/>
    <w:rsid w:val="1F50136D"/>
    <w:rsid w:val="1F5110C8"/>
    <w:rsid w:val="1F94081B"/>
    <w:rsid w:val="1FAD39E8"/>
    <w:rsid w:val="1FB631E1"/>
    <w:rsid w:val="1FCC1153"/>
    <w:rsid w:val="200B14DB"/>
    <w:rsid w:val="202B4759"/>
    <w:rsid w:val="203204C5"/>
    <w:rsid w:val="204B2CB7"/>
    <w:rsid w:val="20F21AEE"/>
    <w:rsid w:val="21094FE4"/>
    <w:rsid w:val="2113197A"/>
    <w:rsid w:val="211A5B51"/>
    <w:rsid w:val="212F3B6A"/>
    <w:rsid w:val="213B6582"/>
    <w:rsid w:val="2147047A"/>
    <w:rsid w:val="216F2591"/>
    <w:rsid w:val="21F37C1E"/>
    <w:rsid w:val="220009F0"/>
    <w:rsid w:val="224A6284"/>
    <w:rsid w:val="224C2E7C"/>
    <w:rsid w:val="226C5F34"/>
    <w:rsid w:val="22A31966"/>
    <w:rsid w:val="23403877"/>
    <w:rsid w:val="23500E92"/>
    <w:rsid w:val="238027E3"/>
    <w:rsid w:val="23F13DFD"/>
    <w:rsid w:val="243D3CA1"/>
    <w:rsid w:val="24497A15"/>
    <w:rsid w:val="24B937FB"/>
    <w:rsid w:val="24F05B5B"/>
    <w:rsid w:val="25092CA8"/>
    <w:rsid w:val="25096F29"/>
    <w:rsid w:val="251C531C"/>
    <w:rsid w:val="25237475"/>
    <w:rsid w:val="254F1023"/>
    <w:rsid w:val="255567DC"/>
    <w:rsid w:val="258C2990"/>
    <w:rsid w:val="25DA600D"/>
    <w:rsid w:val="25DF0358"/>
    <w:rsid w:val="26671D04"/>
    <w:rsid w:val="266E55CB"/>
    <w:rsid w:val="2693081D"/>
    <w:rsid w:val="269D299F"/>
    <w:rsid w:val="26F5551C"/>
    <w:rsid w:val="27154CCD"/>
    <w:rsid w:val="273125BC"/>
    <w:rsid w:val="279D5D1A"/>
    <w:rsid w:val="27BE4184"/>
    <w:rsid w:val="28096854"/>
    <w:rsid w:val="292A5306"/>
    <w:rsid w:val="293F0807"/>
    <w:rsid w:val="295773EF"/>
    <w:rsid w:val="29872088"/>
    <w:rsid w:val="29BD649C"/>
    <w:rsid w:val="2A256627"/>
    <w:rsid w:val="2A3E6B43"/>
    <w:rsid w:val="2A5F1A23"/>
    <w:rsid w:val="2A7A1E56"/>
    <w:rsid w:val="2A92562B"/>
    <w:rsid w:val="2AEE08B6"/>
    <w:rsid w:val="2B307C10"/>
    <w:rsid w:val="2BE6499C"/>
    <w:rsid w:val="2BF93AF2"/>
    <w:rsid w:val="2BFF6701"/>
    <w:rsid w:val="2C1064F5"/>
    <w:rsid w:val="2C3164F0"/>
    <w:rsid w:val="2C3D0A04"/>
    <w:rsid w:val="2C6638DF"/>
    <w:rsid w:val="2C740FD6"/>
    <w:rsid w:val="2C802782"/>
    <w:rsid w:val="2D222519"/>
    <w:rsid w:val="2D4230C3"/>
    <w:rsid w:val="2D6C74C1"/>
    <w:rsid w:val="2DC22E8D"/>
    <w:rsid w:val="2DCF4A66"/>
    <w:rsid w:val="2DD468FA"/>
    <w:rsid w:val="2DD86FE4"/>
    <w:rsid w:val="2DF25B03"/>
    <w:rsid w:val="2DFA4477"/>
    <w:rsid w:val="2E5C121B"/>
    <w:rsid w:val="2E802977"/>
    <w:rsid w:val="2E975015"/>
    <w:rsid w:val="2EB63B22"/>
    <w:rsid w:val="2EBD11E6"/>
    <w:rsid w:val="2ECE6ED4"/>
    <w:rsid w:val="2ED565DA"/>
    <w:rsid w:val="2EE50361"/>
    <w:rsid w:val="2F4B0683"/>
    <w:rsid w:val="2F521185"/>
    <w:rsid w:val="2F805FE4"/>
    <w:rsid w:val="2FC61054"/>
    <w:rsid w:val="2FEB3A19"/>
    <w:rsid w:val="300A05A0"/>
    <w:rsid w:val="301B29D7"/>
    <w:rsid w:val="301B3D6B"/>
    <w:rsid w:val="301C616A"/>
    <w:rsid w:val="30304FE1"/>
    <w:rsid w:val="30465C47"/>
    <w:rsid w:val="3069455C"/>
    <w:rsid w:val="307A1B26"/>
    <w:rsid w:val="30804739"/>
    <w:rsid w:val="30911C08"/>
    <w:rsid w:val="30E50060"/>
    <w:rsid w:val="315059A0"/>
    <w:rsid w:val="3170180C"/>
    <w:rsid w:val="318F24B9"/>
    <w:rsid w:val="31A95C90"/>
    <w:rsid w:val="31D71AF3"/>
    <w:rsid w:val="31F67FB1"/>
    <w:rsid w:val="32344B37"/>
    <w:rsid w:val="3252742A"/>
    <w:rsid w:val="326B7F19"/>
    <w:rsid w:val="327960E3"/>
    <w:rsid w:val="32814D87"/>
    <w:rsid w:val="32970434"/>
    <w:rsid w:val="32A70B37"/>
    <w:rsid w:val="32CA33E1"/>
    <w:rsid w:val="33136742"/>
    <w:rsid w:val="333A18E3"/>
    <w:rsid w:val="334F137A"/>
    <w:rsid w:val="33966308"/>
    <w:rsid w:val="33DA2C5B"/>
    <w:rsid w:val="33FC5CAF"/>
    <w:rsid w:val="34627B14"/>
    <w:rsid w:val="34697A3C"/>
    <w:rsid w:val="34744AD3"/>
    <w:rsid w:val="34AF1229"/>
    <w:rsid w:val="34C108AB"/>
    <w:rsid w:val="34D010F9"/>
    <w:rsid w:val="34E7726B"/>
    <w:rsid w:val="34EE4461"/>
    <w:rsid w:val="350705FC"/>
    <w:rsid w:val="350B7017"/>
    <w:rsid w:val="35784DF8"/>
    <w:rsid w:val="35A67566"/>
    <w:rsid w:val="35B43B1C"/>
    <w:rsid w:val="35CF691A"/>
    <w:rsid w:val="36536682"/>
    <w:rsid w:val="36684C98"/>
    <w:rsid w:val="36AC4788"/>
    <w:rsid w:val="36B213CE"/>
    <w:rsid w:val="36CA4ED1"/>
    <w:rsid w:val="36D65E00"/>
    <w:rsid w:val="36F872F7"/>
    <w:rsid w:val="37A42417"/>
    <w:rsid w:val="38024D3C"/>
    <w:rsid w:val="382A4EB3"/>
    <w:rsid w:val="386877CE"/>
    <w:rsid w:val="389805FF"/>
    <w:rsid w:val="38FC1504"/>
    <w:rsid w:val="39133A6F"/>
    <w:rsid w:val="391506F9"/>
    <w:rsid w:val="392510CB"/>
    <w:rsid w:val="39720159"/>
    <w:rsid w:val="397A6F2D"/>
    <w:rsid w:val="39961596"/>
    <w:rsid w:val="39EE55A6"/>
    <w:rsid w:val="3A0C2CFB"/>
    <w:rsid w:val="3A37638E"/>
    <w:rsid w:val="3A596592"/>
    <w:rsid w:val="3A74062D"/>
    <w:rsid w:val="3AC756A2"/>
    <w:rsid w:val="3AF35FFE"/>
    <w:rsid w:val="3B0552FE"/>
    <w:rsid w:val="3B055374"/>
    <w:rsid w:val="3B2A01EA"/>
    <w:rsid w:val="3B6C0E64"/>
    <w:rsid w:val="3B750C11"/>
    <w:rsid w:val="3B99729F"/>
    <w:rsid w:val="3BBA1052"/>
    <w:rsid w:val="3BBE1338"/>
    <w:rsid w:val="3C31488E"/>
    <w:rsid w:val="3C4B046A"/>
    <w:rsid w:val="3C880067"/>
    <w:rsid w:val="3CAB6EA4"/>
    <w:rsid w:val="3D1564E5"/>
    <w:rsid w:val="3D3146D9"/>
    <w:rsid w:val="3D7236CC"/>
    <w:rsid w:val="3D9908EC"/>
    <w:rsid w:val="3DDA4314"/>
    <w:rsid w:val="3DE34E58"/>
    <w:rsid w:val="3DE82734"/>
    <w:rsid w:val="3E124CEE"/>
    <w:rsid w:val="3E1A55E1"/>
    <w:rsid w:val="3E4E1FCB"/>
    <w:rsid w:val="3EAC2AC8"/>
    <w:rsid w:val="3EFD7CC4"/>
    <w:rsid w:val="3F0B30F6"/>
    <w:rsid w:val="3F3A115B"/>
    <w:rsid w:val="3F3C6B9C"/>
    <w:rsid w:val="3F582739"/>
    <w:rsid w:val="3F5C0831"/>
    <w:rsid w:val="3F800545"/>
    <w:rsid w:val="3FA472C2"/>
    <w:rsid w:val="3FCB2BA2"/>
    <w:rsid w:val="3FD3623C"/>
    <w:rsid w:val="3FDB711E"/>
    <w:rsid w:val="3FEA1309"/>
    <w:rsid w:val="3FF23DFF"/>
    <w:rsid w:val="400821BF"/>
    <w:rsid w:val="40360757"/>
    <w:rsid w:val="405A301A"/>
    <w:rsid w:val="405B7A71"/>
    <w:rsid w:val="407030D5"/>
    <w:rsid w:val="40715B3F"/>
    <w:rsid w:val="40737706"/>
    <w:rsid w:val="409D5F8E"/>
    <w:rsid w:val="409D67A0"/>
    <w:rsid w:val="40B71606"/>
    <w:rsid w:val="40C02991"/>
    <w:rsid w:val="40C9492E"/>
    <w:rsid w:val="410F75B1"/>
    <w:rsid w:val="412630A4"/>
    <w:rsid w:val="41B02A03"/>
    <w:rsid w:val="41C36153"/>
    <w:rsid w:val="41D97077"/>
    <w:rsid w:val="42100D90"/>
    <w:rsid w:val="42410E18"/>
    <w:rsid w:val="428C432C"/>
    <w:rsid w:val="42942CE9"/>
    <w:rsid w:val="42D2207E"/>
    <w:rsid w:val="42E50305"/>
    <w:rsid w:val="430E7688"/>
    <w:rsid w:val="43823D2D"/>
    <w:rsid w:val="43AA3B53"/>
    <w:rsid w:val="43CD7F93"/>
    <w:rsid w:val="440346DF"/>
    <w:rsid w:val="443D14D7"/>
    <w:rsid w:val="44937AB8"/>
    <w:rsid w:val="4498362E"/>
    <w:rsid w:val="44AE4C13"/>
    <w:rsid w:val="44CB1DBF"/>
    <w:rsid w:val="44F12652"/>
    <w:rsid w:val="459B5718"/>
    <w:rsid w:val="45B862F4"/>
    <w:rsid w:val="45E5203E"/>
    <w:rsid w:val="45E8772F"/>
    <w:rsid w:val="45F079D7"/>
    <w:rsid w:val="464B3F52"/>
    <w:rsid w:val="467614DD"/>
    <w:rsid w:val="46A629D0"/>
    <w:rsid w:val="46F54DC3"/>
    <w:rsid w:val="473D2C53"/>
    <w:rsid w:val="477D6BB6"/>
    <w:rsid w:val="478D29B6"/>
    <w:rsid w:val="47970834"/>
    <w:rsid w:val="479C4D16"/>
    <w:rsid w:val="47AC60D2"/>
    <w:rsid w:val="47C936E2"/>
    <w:rsid w:val="481F2E4A"/>
    <w:rsid w:val="4898529D"/>
    <w:rsid w:val="493337E5"/>
    <w:rsid w:val="496E6CF1"/>
    <w:rsid w:val="497E4519"/>
    <w:rsid w:val="49850824"/>
    <w:rsid w:val="49877FB9"/>
    <w:rsid w:val="498B0C3F"/>
    <w:rsid w:val="49A87B9A"/>
    <w:rsid w:val="4A966213"/>
    <w:rsid w:val="4A9F1155"/>
    <w:rsid w:val="4B0871FE"/>
    <w:rsid w:val="4B603A1C"/>
    <w:rsid w:val="4BB5029D"/>
    <w:rsid w:val="4BB95825"/>
    <w:rsid w:val="4C021337"/>
    <w:rsid w:val="4C2952A4"/>
    <w:rsid w:val="4C3718D8"/>
    <w:rsid w:val="4C3F2AB3"/>
    <w:rsid w:val="4C8B3C60"/>
    <w:rsid w:val="4C933510"/>
    <w:rsid w:val="4D021D39"/>
    <w:rsid w:val="4D0F43A2"/>
    <w:rsid w:val="4D125564"/>
    <w:rsid w:val="4D292DCC"/>
    <w:rsid w:val="4D4760D1"/>
    <w:rsid w:val="4D80062F"/>
    <w:rsid w:val="4D8D00BF"/>
    <w:rsid w:val="4D8D45D5"/>
    <w:rsid w:val="4DB85F66"/>
    <w:rsid w:val="4DEB1475"/>
    <w:rsid w:val="4E4B23C5"/>
    <w:rsid w:val="4EA275CC"/>
    <w:rsid w:val="4EAC7F5C"/>
    <w:rsid w:val="4F1304AE"/>
    <w:rsid w:val="4F1B7FCA"/>
    <w:rsid w:val="4F4C07EF"/>
    <w:rsid w:val="4FAD545C"/>
    <w:rsid w:val="4FB34418"/>
    <w:rsid w:val="4FBA01D6"/>
    <w:rsid w:val="5047463D"/>
    <w:rsid w:val="50553224"/>
    <w:rsid w:val="50962C14"/>
    <w:rsid w:val="50A151EE"/>
    <w:rsid w:val="51261B47"/>
    <w:rsid w:val="512D5C0E"/>
    <w:rsid w:val="51350607"/>
    <w:rsid w:val="51501C57"/>
    <w:rsid w:val="51AF0B82"/>
    <w:rsid w:val="51D10245"/>
    <w:rsid w:val="51E51817"/>
    <w:rsid w:val="521444CD"/>
    <w:rsid w:val="521819EB"/>
    <w:rsid w:val="521F7279"/>
    <w:rsid w:val="52370ABA"/>
    <w:rsid w:val="52AE5F91"/>
    <w:rsid w:val="52B17EC9"/>
    <w:rsid w:val="52BF75FA"/>
    <w:rsid w:val="52D11B02"/>
    <w:rsid w:val="53081A44"/>
    <w:rsid w:val="53094E1B"/>
    <w:rsid w:val="53103EE3"/>
    <w:rsid w:val="5314024B"/>
    <w:rsid w:val="53471682"/>
    <w:rsid w:val="534B1CBA"/>
    <w:rsid w:val="53BE6D06"/>
    <w:rsid w:val="53EE03DA"/>
    <w:rsid w:val="540310C3"/>
    <w:rsid w:val="5438078B"/>
    <w:rsid w:val="54827745"/>
    <w:rsid w:val="54952C47"/>
    <w:rsid w:val="54F3082A"/>
    <w:rsid w:val="54F71DCA"/>
    <w:rsid w:val="55237251"/>
    <w:rsid w:val="55265118"/>
    <w:rsid w:val="557072FC"/>
    <w:rsid w:val="55712E34"/>
    <w:rsid w:val="558672BE"/>
    <w:rsid w:val="55D51FB5"/>
    <w:rsid w:val="561B1E15"/>
    <w:rsid w:val="562B0E92"/>
    <w:rsid w:val="56413190"/>
    <w:rsid w:val="564838CE"/>
    <w:rsid w:val="568C32D8"/>
    <w:rsid w:val="569C1194"/>
    <w:rsid w:val="56C85FA4"/>
    <w:rsid w:val="56FA3660"/>
    <w:rsid w:val="57402393"/>
    <w:rsid w:val="575D2802"/>
    <w:rsid w:val="57680F99"/>
    <w:rsid w:val="57953AC0"/>
    <w:rsid w:val="57C807A5"/>
    <w:rsid w:val="57D14ED3"/>
    <w:rsid w:val="57D712F8"/>
    <w:rsid w:val="57FD7811"/>
    <w:rsid w:val="581A4E59"/>
    <w:rsid w:val="585C4331"/>
    <w:rsid w:val="5863292D"/>
    <w:rsid w:val="58737150"/>
    <w:rsid w:val="588E22A1"/>
    <w:rsid w:val="58BA2CDC"/>
    <w:rsid w:val="58C6387F"/>
    <w:rsid w:val="58F4131B"/>
    <w:rsid w:val="590B1C29"/>
    <w:rsid w:val="59731CEF"/>
    <w:rsid w:val="598A6C4A"/>
    <w:rsid w:val="59AC03B2"/>
    <w:rsid w:val="59E97532"/>
    <w:rsid w:val="5A4C38C9"/>
    <w:rsid w:val="5A5E46DC"/>
    <w:rsid w:val="5A8326E8"/>
    <w:rsid w:val="5A9F1B71"/>
    <w:rsid w:val="5AD93472"/>
    <w:rsid w:val="5B0A3C4A"/>
    <w:rsid w:val="5B684EED"/>
    <w:rsid w:val="5B827230"/>
    <w:rsid w:val="5B97126E"/>
    <w:rsid w:val="5BEA58FD"/>
    <w:rsid w:val="5BFD30D6"/>
    <w:rsid w:val="5C00517C"/>
    <w:rsid w:val="5C1305CC"/>
    <w:rsid w:val="5C397819"/>
    <w:rsid w:val="5C603805"/>
    <w:rsid w:val="5C7B6CEF"/>
    <w:rsid w:val="5CBB13FC"/>
    <w:rsid w:val="5D0A7FA1"/>
    <w:rsid w:val="5D300ACE"/>
    <w:rsid w:val="5D6A7D19"/>
    <w:rsid w:val="5D74296B"/>
    <w:rsid w:val="5D7E2DC4"/>
    <w:rsid w:val="5D8F2DBB"/>
    <w:rsid w:val="5DAF02BB"/>
    <w:rsid w:val="5DC04C88"/>
    <w:rsid w:val="5DED4075"/>
    <w:rsid w:val="5DFF4F1D"/>
    <w:rsid w:val="5E002F53"/>
    <w:rsid w:val="5E115A4B"/>
    <w:rsid w:val="5E2E5C73"/>
    <w:rsid w:val="5E460F9C"/>
    <w:rsid w:val="5E842C35"/>
    <w:rsid w:val="5EA13B79"/>
    <w:rsid w:val="5EAF3A50"/>
    <w:rsid w:val="5EB657B4"/>
    <w:rsid w:val="5EDA2745"/>
    <w:rsid w:val="5EDB6700"/>
    <w:rsid w:val="5F402BDB"/>
    <w:rsid w:val="5F70528C"/>
    <w:rsid w:val="5F774B32"/>
    <w:rsid w:val="5F7A00B7"/>
    <w:rsid w:val="5F7D446F"/>
    <w:rsid w:val="5F872564"/>
    <w:rsid w:val="5F876E3E"/>
    <w:rsid w:val="5F90674A"/>
    <w:rsid w:val="60366783"/>
    <w:rsid w:val="603A3542"/>
    <w:rsid w:val="605B7DAB"/>
    <w:rsid w:val="606827B6"/>
    <w:rsid w:val="60C30DED"/>
    <w:rsid w:val="60C537BC"/>
    <w:rsid w:val="61186A0A"/>
    <w:rsid w:val="612857CB"/>
    <w:rsid w:val="614E331F"/>
    <w:rsid w:val="615F147D"/>
    <w:rsid w:val="61B57915"/>
    <w:rsid w:val="622F7825"/>
    <w:rsid w:val="62363DCC"/>
    <w:rsid w:val="625044BF"/>
    <w:rsid w:val="626715D1"/>
    <w:rsid w:val="62861DAE"/>
    <w:rsid w:val="62994EA6"/>
    <w:rsid w:val="62AC7DB2"/>
    <w:rsid w:val="62E95BB8"/>
    <w:rsid w:val="62FD0EB9"/>
    <w:rsid w:val="633C6AC5"/>
    <w:rsid w:val="636015E0"/>
    <w:rsid w:val="63AC3A7A"/>
    <w:rsid w:val="63D327D1"/>
    <w:rsid w:val="641B03CE"/>
    <w:rsid w:val="645F21FA"/>
    <w:rsid w:val="6472283B"/>
    <w:rsid w:val="64724CA2"/>
    <w:rsid w:val="64752632"/>
    <w:rsid w:val="64ED5BC5"/>
    <w:rsid w:val="6520069A"/>
    <w:rsid w:val="65294EBC"/>
    <w:rsid w:val="652D57B9"/>
    <w:rsid w:val="65717566"/>
    <w:rsid w:val="65A47390"/>
    <w:rsid w:val="65A77CF8"/>
    <w:rsid w:val="65D6208C"/>
    <w:rsid w:val="65E630C7"/>
    <w:rsid w:val="65F569F0"/>
    <w:rsid w:val="665C166D"/>
    <w:rsid w:val="668C13F7"/>
    <w:rsid w:val="66CE3E84"/>
    <w:rsid w:val="6745562F"/>
    <w:rsid w:val="67686B4D"/>
    <w:rsid w:val="677761CB"/>
    <w:rsid w:val="67DC2310"/>
    <w:rsid w:val="67ED469B"/>
    <w:rsid w:val="682551B7"/>
    <w:rsid w:val="68445538"/>
    <w:rsid w:val="68456425"/>
    <w:rsid w:val="685F3D11"/>
    <w:rsid w:val="68735EA1"/>
    <w:rsid w:val="68941C22"/>
    <w:rsid w:val="68F11752"/>
    <w:rsid w:val="68F6648D"/>
    <w:rsid w:val="69034441"/>
    <w:rsid w:val="691771DC"/>
    <w:rsid w:val="6928353E"/>
    <w:rsid w:val="694C3F1A"/>
    <w:rsid w:val="699B1FE8"/>
    <w:rsid w:val="69A925ED"/>
    <w:rsid w:val="69B74BCC"/>
    <w:rsid w:val="69C030FF"/>
    <w:rsid w:val="69C75812"/>
    <w:rsid w:val="6A2F2587"/>
    <w:rsid w:val="6A6E1D77"/>
    <w:rsid w:val="6A7D3D9A"/>
    <w:rsid w:val="6A8B2E4B"/>
    <w:rsid w:val="6AA9438D"/>
    <w:rsid w:val="6AB9072B"/>
    <w:rsid w:val="6B016B0E"/>
    <w:rsid w:val="6B2278B4"/>
    <w:rsid w:val="6B6252B0"/>
    <w:rsid w:val="6BB77932"/>
    <w:rsid w:val="6BBB6943"/>
    <w:rsid w:val="6BC77701"/>
    <w:rsid w:val="6BF245B8"/>
    <w:rsid w:val="6C17611A"/>
    <w:rsid w:val="6CB61F0C"/>
    <w:rsid w:val="6D09741B"/>
    <w:rsid w:val="6D141DAE"/>
    <w:rsid w:val="6D3E111E"/>
    <w:rsid w:val="6D65639A"/>
    <w:rsid w:val="6DBC3D26"/>
    <w:rsid w:val="6DE470D8"/>
    <w:rsid w:val="6E0F6C4E"/>
    <w:rsid w:val="6E131E4A"/>
    <w:rsid w:val="6E1E6466"/>
    <w:rsid w:val="6E6829B8"/>
    <w:rsid w:val="6E6A7106"/>
    <w:rsid w:val="6E754801"/>
    <w:rsid w:val="6EA05A6E"/>
    <w:rsid w:val="6EA9288E"/>
    <w:rsid w:val="6EB8335D"/>
    <w:rsid w:val="6EEC470E"/>
    <w:rsid w:val="6F0822CB"/>
    <w:rsid w:val="6F277B1F"/>
    <w:rsid w:val="6FA56E64"/>
    <w:rsid w:val="6FAD20B6"/>
    <w:rsid w:val="6FBD5AA9"/>
    <w:rsid w:val="6FF52A65"/>
    <w:rsid w:val="701F0004"/>
    <w:rsid w:val="705264E3"/>
    <w:rsid w:val="70C023A4"/>
    <w:rsid w:val="70D7336B"/>
    <w:rsid w:val="70F87C1E"/>
    <w:rsid w:val="71243512"/>
    <w:rsid w:val="713E6A39"/>
    <w:rsid w:val="71411B5E"/>
    <w:rsid w:val="714C6393"/>
    <w:rsid w:val="714E3E6E"/>
    <w:rsid w:val="71BE3D79"/>
    <w:rsid w:val="7202069B"/>
    <w:rsid w:val="7203765F"/>
    <w:rsid w:val="721B3AAA"/>
    <w:rsid w:val="726B6B76"/>
    <w:rsid w:val="7286394B"/>
    <w:rsid w:val="72E53C90"/>
    <w:rsid w:val="72FB1FF3"/>
    <w:rsid w:val="72FD4293"/>
    <w:rsid w:val="730E7B3E"/>
    <w:rsid w:val="73313733"/>
    <w:rsid w:val="73403F68"/>
    <w:rsid w:val="73483DE6"/>
    <w:rsid w:val="73A13A31"/>
    <w:rsid w:val="73BB4E24"/>
    <w:rsid w:val="73E9066C"/>
    <w:rsid w:val="74252347"/>
    <w:rsid w:val="74294D38"/>
    <w:rsid w:val="74333ACC"/>
    <w:rsid w:val="74CE51CD"/>
    <w:rsid w:val="74FF74BF"/>
    <w:rsid w:val="75711E9C"/>
    <w:rsid w:val="75991167"/>
    <w:rsid w:val="760B7828"/>
    <w:rsid w:val="76D71EA9"/>
    <w:rsid w:val="76D85AA0"/>
    <w:rsid w:val="76E72F69"/>
    <w:rsid w:val="76FC53E8"/>
    <w:rsid w:val="774E5706"/>
    <w:rsid w:val="7764329A"/>
    <w:rsid w:val="77750F58"/>
    <w:rsid w:val="778B4096"/>
    <w:rsid w:val="77B318FA"/>
    <w:rsid w:val="783220B0"/>
    <w:rsid w:val="78926772"/>
    <w:rsid w:val="789E7FFC"/>
    <w:rsid w:val="78B16881"/>
    <w:rsid w:val="78BF3F87"/>
    <w:rsid w:val="78CC606E"/>
    <w:rsid w:val="78E15400"/>
    <w:rsid w:val="7927328B"/>
    <w:rsid w:val="79614C7E"/>
    <w:rsid w:val="79912E27"/>
    <w:rsid w:val="79DE0A3C"/>
    <w:rsid w:val="7A0419AA"/>
    <w:rsid w:val="7A241ABD"/>
    <w:rsid w:val="7A5311E9"/>
    <w:rsid w:val="7A723DF1"/>
    <w:rsid w:val="7AAF681E"/>
    <w:rsid w:val="7AB77380"/>
    <w:rsid w:val="7B043C1C"/>
    <w:rsid w:val="7B8527F5"/>
    <w:rsid w:val="7C3B4B05"/>
    <w:rsid w:val="7C587DB7"/>
    <w:rsid w:val="7C5E2397"/>
    <w:rsid w:val="7C6F6D50"/>
    <w:rsid w:val="7C7526A9"/>
    <w:rsid w:val="7CB11B09"/>
    <w:rsid w:val="7CC81D82"/>
    <w:rsid w:val="7CEC4086"/>
    <w:rsid w:val="7D3156B1"/>
    <w:rsid w:val="7D3454DD"/>
    <w:rsid w:val="7D4C04A1"/>
    <w:rsid w:val="7D7871F0"/>
    <w:rsid w:val="7D851AB7"/>
    <w:rsid w:val="7D9C778E"/>
    <w:rsid w:val="7DBF4BB5"/>
    <w:rsid w:val="7DCB65B6"/>
    <w:rsid w:val="7DD81432"/>
    <w:rsid w:val="7DDD0612"/>
    <w:rsid w:val="7E60718C"/>
    <w:rsid w:val="7E617196"/>
    <w:rsid w:val="7E657B70"/>
    <w:rsid w:val="7E7B665C"/>
    <w:rsid w:val="7E805C5B"/>
    <w:rsid w:val="7EBE0087"/>
    <w:rsid w:val="7EC566DC"/>
    <w:rsid w:val="7EE178DF"/>
    <w:rsid w:val="7EEF4FAA"/>
    <w:rsid w:val="7EF4463F"/>
    <w:rsid w:val="7F2B0E9C"/>
    <w:rsid w:val="7F737C9D"/>
    <w:rsid w:val="7F910EEC"/>
    <w:rsid w:val="7FC26294"/>
    <w:rsid w:val="7FEB250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0" w:name="footnote text"/>
    <w:lsdException w:qFormat="1" w:unhideWhenUsed="0" w:uiPriority="0" w:semiHidden="0" w:name="annotation text"/>
    <w:lsdException w:qFormat="1" w:uiPriority="0" w:semiHidden="0" w:name="header"/>
    <w:lsdException w:qFormat="1" w:uiPriority="0" w:semiHidden="0" w:name="footer"/>
    <w:lsdException w:qFormat="1" w:unhideWhenUsed="0" w:uiPriority="0" w:semiHidden="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qFormat="1" w:unhideWhenUsed="0" w:uiPriority="0" w:semiHidden="0" w:name="table of authorities"/>
    <w:lsdException w:uiPriority="0" w:name="macro"/>
    <w:lsdException w:qFormat="1" w:unhideWhenUsed="0" w:uiPriority="0" w:semiHidden="0" w:name="toa heading"/>
    <w:lsdException w:qFormat="1" w:uiPriority="0" w:semiHidden="0" w:name="List"/>
    <w:lsdException w:qFormat="1" w:unhideWhenUsed="0" w:uiPriority="0" w:semiHidden="0" w:name="List Bullet"/>
    <w:lsdException w:qFormat="1" w:uiPriority="0" w:semiHidden="0" w:name="List Number"/>
    <w:lsdException w:uiPriority="0" w:name="List 2"/>
    <w:lsdException w:uiPriority="0" w:name="List 3"/>
    <w:lsdException w:unhideWhenUsed="0" w:uiPriority="0" w:semiHidden="0" w:name="List 4"/>
    <w:lsdException w:unhideWhenUsed="0" w:uiPriority="0" w:semiHidden="0" w:name="List 5"/>
    <w:lsdException w:qFormat="1" w:uiPriority="0" w:semiHidden="0" w:name="List Bullet 2"/>
    <w:lsdException w:qFormat="1" w:uiPriority="0" w:semiHidden="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99" w:semiHidden="0" w:name="HTML Preformatted"/>
    <w:lsdException w:uiPriority="0" w:name="HTML Sample"/>
    <w:lsdException w:uiPriority="0" w:name="HTML Typewriter"/>
    <w:lsdException w:uiPriority="0" w:name="HTML Variable"/>
    <w:lsdException w:qFormat="1"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80"/>
    <w:qFormat/>
    <w:uiPriority w:val="0"/>
    <w:pPr>
      <w:keepNext/>
      <w:keepLines/>
      <w:spacing w:before="340" w:after="330" w:line="578" w:lineRule="auto"/>
      <w:outlineLvl w:val="0"/>
    </w:pPr>
    <w:rPr>
      <w:b/>
      <w:bCs/>
      <w:kern w:val="44"/>
      <w:sz w:val="30"/>
      <w:szCs w:val="44"/>
    </w:rPr>
  </w:style>
  <w:style w:type="paragraph" w:styleId="3">
    <w:name w:val="heading 2"/>
    <w:basedOn w:val="1"/>
    <w:next w:val="1"/>
    <w:link w:val="68"/>
    <w:qFormat/>
    <w:uiPriority w:val="0"/>
    <w:pPr>
      <w:keepNext/>
      <w:keepLines/>
      <w:spacing w:before="260" w:after="260" w:line="416" w:lineRule="auto"/>
      <w:ind w:firstLine="628"/>
      <w:jc w:val="center"/>
      <w:outlineLvl w:val="1"/>
    </w:pPr>
    <w:rPr>
      <w:rFonts w:ascii="Arial" w:hAnsi="Arial" w:eastAsia="黑体"/>
      <w:b/>
      <w:bCs/>
      <w:sz w:val="32"/>
      <w:szCs w:val="32"/>
    </w:rPr>
  </w:style>
  <w:style w:type="paragraph" w:styleId="4">
    <w:name w:val="heading 3"/>
    <w:basedOn w:val="1"/>
    <w:next w:val="1"/>
    <w:link w:val="98"/>
    <w:qFormat/>
    <w:uiPriority w:val="0"/>
    <w:pPr>
      <w:keepNext/>
      <w:keepLines/>
      <w:spacing w:before="260" w:after="260" w:line="416" w:lineRule="auto"/>
      <w:jc w:val="center"/>
      <w:outlineLvl w:val="2"/>
    </w:pPr>
    <w:rPr>
      <w:rFonts w:ascii="宋体"/>
      <w:b/>
      <w:bCs/>
      <w:sz w:val="32"/>
      <w:szCs w:val="32"/>
    </w:rPr>
  </w:style>
  <w:style w:type="paragraph" w:styleId="5">
    <w:name w:val="heading 4"/>
    <w:basedOn w:val="1"/>
    <w:next w:val="1"/>
    <w:link w:val="79"/>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82"/>
    <w:qFormat/>
    <w:uiPriority w:val="0"/>
    <w:pPr>
      <w:keepNext/>
      <w:outlineLvl w:val="4"/>
    </w:pPr>
    <w:rPr>
      <w:rFonts w:ascii="宋体" w:hAnsi="Arial"/>
      <w:bCs/>
      <w:sz w:val="28"/>
    </w:rPr>
  </w:style>
  <w:style w:type="paragraph" w:styleId="7">
    <w:name w:val="heading 6"/>
    <w:basedOn w:val="1"/>
    <w:next w:val="1"/>
    <w:link w:val="76"/>
    <w:qFormat/>
    <w:uiPriority w:val="0"/>
    <w:pPr>
      <w:keepNext/>
      <w:autoSpaceDE w:val="0"/>
      <w:autoSpaceDN w:val="0"/>
      <w:adjustRightInd w:val="0"/>
      <w:spacing w:beforeLines="50" w:afterLines="50" w:line="300" w:lineRule="exact"/>
      <w:jc w:val="center"/>
      <w:outlineLvl w:val="5"/>
    </w:pPr>
    <w:rPr>
      <w:rFonts w:ascii="宋体" w:hAnsi="宋体"/>
      <w:kern w:val="0"/>
      <w:sz w:val="28"/>
    </w:rPr>
  </w:style>
  <w:style w:type="paragraph" w:styleId="8">
    <w:name w:val="heading 7"/>
    <w:basedOn w:val="1"/>
    <w:next w:val="1"/>
    <w:link w:val="93"/>
    <w:qFormat/>
    <w:uiPriority w:val="0"/>
    <w:pPr>
      <w:keepNext/>
      <w:keepLines/>
      <w:spacing w:before="240" w:after="64" w:line="320" w:lineRule="auto"/>
      <w:ind w:right="-24" w:rightChars="-10" w:firstLine="464" w:firstLineChars="225"/>
      <w:jc w:val="left"/>
      <w:outlineLvl w:val="6"/>
    </w:pPr>
    <w:rPr>
      <w:rFonts w:ascii="Arial" w:hAnsi="Arial" w:eastAsia="仿宋_GB2312" w:cs="Arial"/>
      <w:b/>
      <w:bCs/>
      <w:spacing w:val="-4"/>
      <w:sz w:val="24"/>
      <w:szCs w:val="24"/>
    </w:rPr>
  </w:style>
  <w:style w:type="paragraph" w:styleId="9">
    <w:name w:val="heading 8"/>
    <w:basedOn w:val="1"/>
    <w:next w:val="1"/>
    <w:link w:val="87"/>
    <w:qFormat/>
    <w:uiPriority w:val="0"/>
    <w:pPr>
      <w:keepNext/>
      <w:keepLines/>
      <w:tabs>
        <w:tab w:val="left" w:pos="0"/>
        <w:tab w:val="left" w:pos="3360"/>
      </w:tabs>
      <w:adjustRightInd w:val="0"/>
      <w:spacing w:line="360" w:lineRule="atLeast"/>
      <w:ind w:left="3360" w:hanging="420"/>
      <w:jc w:val="left"/>
      <w:outlineLvl w:val="7"/>
    </w:pPr>
    <w:rPr>
      <w:kern w:val="0"/>
      <w:sz w:val="24"/>
    </w:rPr>
  </w:style>
  <w:style w:type="paragraph" w:styleId="10">
    <w:name w:val="heading 9"/>
    <w:basedOn w:val="1"/>
    <w:next w:val="1"/>
    <w:link w:val="100"/>
    <w:qFormat/>
    <w:uiPriority w:val="0"/>
    <w:pPr>
      <w:keepNext/>
      <w:keepLines/>
      <w:tabs>
        <w:tab w:val="left" w:pos="0"/>
        <w:tab w:val="left" w:pos="3780"/>
      </w:tabs>
      <w:adjustRightInd w:val="0"/>
      <w:spacing w:line="360" w:lineRule="atLeast"/>
      <w:ind w:left="3780" w:hanging="420"/>
      <w:jc w:val="left"/>
      <w:outlineLvl w:val="8"/>
    </w:pPr>
    <w:rPr>
      <w:kern w:val="0"/>
      <w:sz w:val="24"/>
    </w:rPr>
  </w:style>
  <w:style w:type="character" w:default="1" w:styleId="58">
    <w:name w:val="Default Paragraph Font"/>
    <w:semiHidden/>
    <w:unhideWhenUsed/>
    <w:uiPriority w:val="1"/>
  </w:style>
  <w:style w:type="table" w:default="1" w:styleId="65">
    <w:name w:val="Normal Table"/>
    <w:semiHidden/>
    <w:unhideWhenUsed/>
    <w:qFormat/>
    <w:uiPriority w:val="99"/>
    <w:tblPr>
      <w:tblLayout w:type="fixed"/>
      <w:tblCellMar>
        <w:top w:w="0" w:type="dxa"/>
        <w:left w:w="108" w:type="dxa"/>
        <w:bottom w:w="0" w:type="dxa"/>
        <w:right w:w="108" w:type="dxa"/>
      </w:tblCellMar>
    </w:tblPr>
  </w:style>
  <w:style w:type="paragraph" w:styleId="11">
    <w:name w:val="annotation subject"/>
    <w:basedOn w:val="12"/>
    <w:next w:val="12"/>
    <w:link w:val="106"/>
    <w:unhideWhenUsed/>
    <w:qFormat/>
    <w:uiPriority w:val="0"/>
    <w:pPr>
      <w:adjustRightInd w:val="0"/>
      <w:spacing w:line="360" w:lineRule="atLeast"/>
    </w:pPr>
    <w:rPr>
      <w:b/>
      <w:bCs/>
      <w:kern w:val="0"/>
      <w:sz w:val="24"/>
    </w:rPr>
  </w:style>
  <w:style w:type="paragraph" w:styleId="12">
    <w:name w:val="annotation text"/>
    <w:basedOn w:val="1"/>
    <w:link w:val="89"/>
    <w:qFormat/>
    <w:uiPriority w:val="0"/>
    <w:pPr>
      <w:jc w:val="left"/>
    </w:pPr>
  </w:style>
  <w:style w:type="paragraph" w:styleId="13">
    <w:name w:val="toc 7"/>
    <w:basedOn w:val="1"/>
    <w:next w:val="1"/>
    <w:qFormat/>
    <w:uiPriority w:val="0"/>
    <w:pPr>
      <w:ind w:left="1260"/>
      <w:jc w:val="left"/>
    </w:pPr>
    <w:rPr>
      <w:szCs w:val="21"/>
    </w:rPr>
  </w:style>
  <w:style w:type="paragraph" w:styleId="14">
    <w:name w:val="Body Text First Indent"/>
    <w:basedOn w:val="1"/>
    <w:link w:val="111"/>
    <w:qFormat/>
    <w:uiPriority w:val="0"/>
    <w:pPr>
      <w:autoSpaceDE w:val="0"/>
      <w:autoSpaceDN w:val="0"/>
      <w:adjustRightInd w:val="0"/>
      <w:spacing w:line="360" w:lineRule="auto"/>
      <w:ind w:right="-24" w:rightChars="-10" w:firstLine="425" w:firstLineChars="225"/>
    </w:pPr>
    <w:rPr>
      <w:rFonts w:ascii="Arial" w:hAnsi="Arial" w:eastAsia="仿宋_GB2312" w:cs="Arial"/>
      <w:kern w:val="0"/>
      <w:sz w:val="24"/>
      <w:szCs w:val="32"/>
    </w:rPr>
  </w:style>
  <w:style w:type="paragraph" w:styleId="15">
    <w:name w:val="table of authorities"/>
    <w:basedOn w:val="1"/>
    <w:next w:val="1"/>
    <w:qFormat/>
    <w:uiPriority w:val="0"/>
    <w:pPr>
      <w:ind w:left="420" w:leftChars="200"/>
    </w:pPr>
  </w:style>
  <w:style w:type="paragraph" w:styleId="16">
    <w:name w:val="index 8"/>
    <w:basedOn w:val="1"/>
    <w:next w:val="1"/>
    <w:qFormat/>
    <w:uiPriority w:val="0"/>
    <w:pPr>
      <w:ind w:left="1400" w:leftChars="1400"/>
    </w:pPr>
  </w:style>
  <w:style w:type="paragraph" w:styleId="17">
    <w:name w:val="List Number"/>
    <w:basedOn w:val="1"/>
    <w:unhideWhenUsed/>
    <w:qFormat/>
    <w:uiPriority w:val="0"/>
    <w:rPr>
      <w:rFonts w:ascii="黑体" w:hAnsi="Arial" w:eastAsia="黑体"/>
      <w:szCs w:val="24"/>
    </w:rPr>
  </w:style>
  <w:style w:type="paragraph" w:styleId="18">
    <w:name w:val="Normal Indent"/>
    <w:basedOn w:val="1"/>
    <w:link w:val="85"/>
    <w:qFormat/>
    <w:uiPriority w:val="0"/>
    <w:pPr>
      <w:spacing w:after="156"/>
      <w:ind w:firstLine="420"/>
    </w:pPr>
    <w:rPr>
      <w:rFonts w:ascii="Calibri" w:hAnsi="Calibri" w:cs="Plotter"/>
      <w:sz w:val="24"/>
      <w:szCs w:val="24"/>
    </w:rPr>
  </w:style>
  <w:style w:type="paragraph" w:styleId="19">
    <w:name w:val="index 5"/>
    <w:basedOn w:val="1"/>
    <w:next w:val="1"/>
    <w:qFormat/>
    <w:uiPriority w:val="0"/>
    <w:pPr>
      <w:ind w:left="800" w:leftChars="800"/>
    </w:pPr>
  </w:style>
  <w:style w:type="paragraph" w:styleId="20">
    <w:name w:val="List Bullet"/>
    <w:basedOn w:val="1"/>
    <w:qFormat/>
    <w:uiPriority w:val="0"/>
    <w:pPr>
      <w:tabs>
        <w:tab w:val="left" w:pos="360"/>
      </w:tabs>
      <w:ind w:left="1620" w:hanging="360"/>
    </w:pPr>
  </w:style>
  <w:style w:type="paragraph" w:styleId="21">
    <w:name w:val="Document Map"/>
    <w:basedOn w:val="1"/>
    <w:link w:val="107"/>
    <w:qFormat/>
    <w:uiPriority w:val="0"/>
    <w:pPr>
      <w:shd w:val="clear" w:color="auto" w:fill="000080"/>
    </w:pPr>
  </w:style>
  <w:style w:type="paragraph" w:styleId="22">
    <w:name w:val="toa heading"/>
    <w:basedOn w:val="1"/>
    <w:next w:val="1"/>
    <w:qFormat/>
    <w:uiPriority w:val="0"/>
    <w:pPr>
      <w:spacing w:before="120"/>
    </w:pPr>
    <w:rPr>
      <w:rFonts w:ascii="Arial" w:hAnsi="Arial"/>
      <w:b/>
      <w:bCs/>
      <w:szCs w:val="24"/>
    </w:rPr>
  </w:style>
  <w:style w:type="paragraph" w:styleId="23">
    <w:name w:val="index 6"/>
    <w:basedOn w:val="1"/>
    <w:next w:val="1"/>
    <w:qFormat/>
    <w:uiPriority w:val="0"/>
    <w:pPr>
      <w:ind w:left="1000" w:leftChars="1000"/>
    </w:pPr>
  </w:style>
  <w:style w:type="paragraph" w:styleId="24">
    <w:name w:val="Body Text 3"/>
    <w:basedOn w:val="1"/>
    <w:link w:val="99"/>
    <w:qFormat/>
    <w:uiPriority w:val="0"/>
    <w:rPr>
      <w:rFonts w:ascii="黑体" w:hAnsi="Arial" w:eastAsia="黑体"/>
      <w:b/>
      <w:sz w:val="28"/>
    </w:rPr>
  </w:style>
  <w:style w:type="paragraph" w:styleId="25">
    <w:name w:val="List Bullet 3"/>
    <w:basedOn w:val="1"/>
    <w:unhideWhenUsed/>
    <w:qFormat/>
    <w:uiPriority w:val="0"/>
    <w:pPr>
      <w:adjustRightInd w:val="0"/>
      <w:spacing w:line="360" w:lineRule="atLeast"/>
      <w:contextualSpacing/>
      <w:jc w:val="left"/>
    </w:pPr>
    <w:rPr>
      <w:kern w:val="0"/>
      <w:sz w:val="24"/>
    </w:rPr>
  </w:style>
  <w:style w:type="paragraph" w:styleId="26">
    <w:name w:val="Body Text"/>
    <w:basedOn w:val="1"/>
    <w:link w:val="104"/>
    <w:qFormat/>
    <w:uiPriority w:val="0"/>
    <w:rPr>
      <w:rFonts w:ascii="宋体" w:hAnsi="Arial"/>
      <w:sz w:val="28"/>
    </w:rPr>
  </w:style>
  <w:style w:type="paragraph" w:styleId="27">
    <w:name w:val="Body Text Indent"/>
    <w:basedOn w:val="1"/>
    <w:link w:val="108"/>
    <w:qFormat/>
    <w:uiPriority w:val="0"/>
    <w:pPr>
      <w:ind w:firstLine="645"/>
    </w:pPr>
    <w:rPr>
      <w:rFonts w:ascii="楷体_GB2312" w:eastAsia="楷体_GB2312"/>
      <w:sz w:val="32"/>
    </w:rPr>
  </w:style>
  <w:style w:type="paragraph" w:styleId="28">
    <w:name w:val="Block Text"/>
    <w:basedOn w:val="1"/>
    <w:qFormat/>
    <w:uiPriority w:val="0"/>
    <w:pPr>
      <w:spacing w:after="156"/>
    </w:pPr>
    <w:rPr>
      <w:rFonts w:ascii="宋体" w:hAnsi="Calibri"/>
      <w:szCs w:val="22"/>
    </w:rPr>
  </w:style>
  <w:style w:type="paragraph" w:styleId="29">
    <w:name w:val="List Bullet 2"/>
    <w:basedOn w:val="1"/>
    <w:unhideWhenUsed/>
    <w:qFormat/>
    <w:uiPriority w:val="0"/>
    <w:pPr>
      <w:adjustRightInd w:val="0"/>
      <w:spacing w:line="360" w:lineRule="atLeast"/>
      <w:jc w:val="left"/>
    </w:pPr>
    <w:rPr>
      <w:kern w:val="0"/>
      <w:sz w:val="24"/>
    </w:rPr>
  </w:style>
  <w:style w:type="paragraph" w:styleId="30">
    <w:name w:val="index 4"/>
    <w:basedOn w:val="1"/>
    <w:next w:val="1"/>
    <w:qFormat/>
    <w:uiPriority w:val="0"/>
    <w:pPr>
      <w:ind w:left="600" w:leftChars="600"/>
    </w:pPr>
  </w:style>
  <w:style w:type="paragraph" w:styleId="31">
    <w:name w:val="toc 5"/>
    <w:basedOn w:val="1"/>
    <w:next w:val="1"/>
    <w:qFormat/>
    <w:uiPriority w:val="0"/>
    <w:pPr>
      <w:ind w:left="840"/>
      <w:jc w:val="left"/>
    </w:pPr>
    <w:rPr>
      <w:szCs w:val="21"/>
    </w:rPr>
  </w:style>
  <w:style w:type="paragraph" w:styleId="32">
    <w:name w:val="toc 3"/>
    <w:basedOn w:val="1"/>
    <w:next w:val="1"/>
    <w:qFormat/>
    <w:uiPriority w:val="39"/>
    <w:pPr>
      <w:tabs>
        <w:tab w:val="right" w:leader="dot" w:pos="9403"/>
      </w:tabs>
      <w:spacing w:line="300" w:lineRule="auto"/>
      <w:ind w:left="420"/>
      <w:jc w:val="left"/>
    </w:pPr>
    <w:rPr>
      <w:rFonts w:ascii="宋体" w:hAnsi="宋体"/>
      <w:iCs/>
      <w:sz w:val="18"/>
      <w:szCs w:val="24"/>
    </w:rPr>
  </w:style>
  <w:style w:type="paragraph" w:styleId="33">
    <w:name w:val="Plain Text"/>
    <w:basedOn w:val="1"/>
    <w:link w:val="90"/>
    <w:qFormat/>
    <w:uiPriority w:val="0"/>
    <w:rPr>
      <w:rFonts w:ascii="宋体" w:hAnsi="Courier New"/>
    </w:rPr>
  </w:style>
  <w:style w:type="paragraph" w:styleId="34">
    <w:name w:val="toc 8"/>
    <w:basedOn w:val="1"/>
    <w:next w:val="1"/>
    <w:qFormat/>
    <w:uiPriority w:val="0"/>
    <w:pPr>
      <w:ind w:left="1470"/>
      <w:jc w:val="left"/>
    </w:pPr>
    <w:rPr>
      <w:szCs w:val="21"/>
    </w:rPr>
  </w:style>
  <w:style w:type="paragraph" w:styleId="35">
    <w:name w:val="index 3"/>
    <w:basedOn w:val="1"/>
    <w:next w:val="1"/>
    <w:qFormat/>
    <w:uiPriority w:val="0"/>
    <w:pPr>
      <w:ind w:left="400" w:leftChars="400"/>
    </w:pPr>
  </w:style>
  <w:style w:type="paragraph" w:styleId="36">
    <w:name w:val="Date"/>
    <w:basedOn w:val="1"/>
    <w:next w:val="1"/>
    <w:link w:val="69"/>
    <w:qFormat/>
    <w:uiPriority w:val="0"/>
    <w:rPr>
      <w:b/>
      <w:sz w:val="28"/>
    </w:rPr>
  </w:style>
  <w:style w:type="paragraph" w:styleId="37">
    <w:name w:val="Body Text Indent 2"/>
    <w:basedOn w:val="1"/>
    <w:link w:val="91"/>
    <w:qFormat/>
    <w:uiPriority w:val="0"/>
    <w:pPr>
      <w:ind w:left="630" w:firstLine="645"/>
    </w:pPr>
    <w:rPr>
      <w:rFonts w:ascii="Arial" w:hAnsi="Arial" w:eastAsia="仿宋_GB2312"/>
      <w:sz w:val="32"/>
    </w:rPr>
  </w:style>
  <w:style w:type="paragraph" w:styleId="38">
    <w:name w:val="Balloon Text"/>
    <w:basedOn w:val="1"/>
    <w:link w:val="78"/>
    <w:qFormat/>
    <w:uiPriority w:val="99"/>
    <w:rPr>
      <w:sz w:val="18"/>
      <w:szCs w:val="18"/>
    </w:rPr>
  </w:style>
  <w:style w:type="paragraph" w:styleId="39">
    <w:name w:val="footer"/>
    <w:basedOn w:val="1"/>
    <w:link w:val="81"/>
    <w:unhideWhenUsed/>
    <w:qFormat/>
    <w:uiPriority w:val="0"/>
    <w:pPr>
      <w:tabs>
        <w:tab w:val="center" w:pos="4153"/>
        <w:tab w:val="right" w:pos="8306"/>
      </w:tabs>
      <w:snapToGrid w:val="0"/>
      <w:jc w:val="left"/>
    </w:pPr>
    <w:rPr>
      <w:sz w:val="18"/>
      <w:szCs w:val="18"/>
    </w:rPr>
  </w:style>
  <w:style w:type="paragraph" w:styleId="40">
    <w:name w:val="header"/>
    <w:basedOn w:val="1"/>
    <w:link w:val="105"/>
    <w:unhideWhenUsed/>
    <w:qFormat/>
    <w:uiPriority w:val="0"/>
    <w:pPr>
      <w:pBdr>
        <w:bottom w:val="single" w:color="auto" w:sz="6" w:space="1"/>
      </w:pBdr>
      <w:tabs>
        <w:tab w:val="center" w:pos="4153"/>
        <w:tab w:val="right" w:pos="8306"/>
      </w:tabs>
      <w:snapToGrid w:val="0"/>
      <w:jc w:val="center"/>
    </w:pPr>
    <w:rPr>
      <w:sz w:val="18"/>
      <w:szCs w:val="18"/>
    </w:rPr>
  </w:style>
  <w:style w:type="paragraph" w:styleId="41">
    <w:name w:val="toc 1"/>
    <w:basedOn w:val="1"/>
    <w:next w:val="1"/>
    <w:qFormat/>
    <w:uiPriority w:val="0"/>
    <w:pPr>
      <w:spacing w:before="120" w:after="120"/>
      <w:jc w:val="left"/>
    </w:pPr>
    <w:rPr>
      <w:caps/>
      <w:sz w:val="18"/>
      <w:szCs w:val="24"/>
    </w:rPr>
  </w:style>
  <w:style w:type="paragraph" w:styleId="42">
    <w:name w:val="toc 4"/>
    <w:basedOn w:val="1"/>
    <w:next w:val="1"/>
    <w:qFormat/>
    <w:uiPriority w:val="0"/>
    <w:pPr>
      <w:ind w:left="630"/>
      <w:jc w:val="left"/>
    </w:pPr>
    <w:rPr>
      <w:szCs w:val="21"/>
    </w:rPr>
  </w:style>
  <w:style w:type="paragraph" w:styleId="43">
    <w:name w:val="index heading"/>
    <w:basedOn w:val="1"/>
    <w:next w:val="44"/>
    <w:qFormat/>
    <w:uiPriority w:val="0"/>
  </w:style>
  <w:style w:type="paragraph" w:styleId="44">
    <w:name w:val="index 1"/>
    <w:basedOn w:val="1"/>
    <w:next w:val="1"/>
    <w:qFormat/>
    <w:uiPriority w:val="0"/>
    <w:pPr>
      <w:jc w:val="center"/>
    </w:pPr>
    <w:rPr>
      <w:rFonts w:ascii="仿宋_GB2312" w:eastAsia="仿宋_GB2312"/>
      <w:b/>
      <w:bCs/>
      <w:sz w:val="28"/>
    </w:rPr>
  </w:style>
  <w:style w:type="paragraph" w:styleId="45">
    <w:name w:val="Subtitle"/>
    <w:basedOn w:val="1"/>
    <w:link w:val="73"/>
    <w:qFormat/>
    <w:uiPriority w:val="0"/>
    <w:pPr>
      <w:adjustRightInd w:val="0"/>
      <w:spacing w:before="240" w:after="60" w:line="312" w:lineRule="atLeast"/>
      <w:jc w:val="center"/>
      <w:outlineLvl w:val="1"/>
    </w:pPr>
    <w:rPr>
      <w:rFonts w:ascii="Arial" w:hAnsi="Arial" w:cs="Arial"/>
      <w:b/>
      <w:bCs/>
      <w:kern w:val="28"/>
      <w:sz w:val="32"/>
      <w:szCs w:val="32"/>
    </w:rPr>
  </w:style>
  <w:style w:type="paragraph" w:styleId="46">
    <w:name w:val="List"/>
    <w:basedOn w:val="1"/>
    <w:unhideWhenUsed/>
    <w:qFormat/>
    <w:uiPriority w:val="0"/>
    <w:pPr>
      <w:ind w:left="420" w:hanging="420"/>
    </w:pPr>
  </w:style>
  <w:style w:type="paragraph" w:styleId="47">
    <w:name w:val="toc 6"/>
    <w:basedOn w:val="1"/>
    <w:next w:val="1"/>
    <w:qFormat/>
    <w:uiPriority w:val="0"/>
    <w:pPr>
      <w:ind w:left="1050"/>
      <w:jc w:val="left"/>
    </w:pPr>
    <w:rPr>
      <w:szCs w:val="21"/>
    </w:rPr>
  </w:style>
  <w:style w:type="paragraph" w:styleId="48">
    <w:name w:val="Body Text Indent 3"/>
    <w:basedOn w:val="1"/>
    <w:link w:val="94"/>
    <w:qFormat/>
    <w:uiPriority w:val="0"/>
    <w:pPr>
      <w:ind w:firstLine="645"/>
    </w:pPr>
    <w:rPr>
      <w:rFonts w:ascii="仿宋_GB2312" w:hAnsi="Arial" w:eastAsia="仿宋_GB2312"/>
      <w:color w:val="000000"/>
      <w:sz w:val="30"/>
    </w:rPr>
  </w:style>
  <w:style w:type="paragraph" w:styleId="49">
    <w:name w:val="index 7"/>
    <w:basedOn w:val="1"/>
    <w:next w:val="1"/>
    <w:qFormat/>
    <w:uiPriority w:val="0"/>
    <w:pPr>
      <w:ind w:left="1200" w:leftChars="1200"/>
    </w:pPr>
  </w:style>
  <w:style w:type="paragraph" w:styleId="50">
    <w:name w:val="index 9"/>
    <w:basedOn w:val="1"/>
    <w:next w:val="1"/>
    <w:qFormat/>
    <w:uiPriority w:val="0"/>
    <w:pPr>
      <w:ind w:left="1600" w:leftChars="1600"/>
    </w:pPr>
  </w:style>
  <w:style w:type="paragraph" w:styleId="51">
    <w:name w:val="toc 2"/>
    <w:basedOn w:val="1"/>
    <w:next w:val="1"/>
    <w:qFormat/>
    <w:uiPriority w:val="39"/>
    <w:pPr>
      <w:ind w:left="210"/>
      <w:jc w:val="left"/>
    </w:pPr>
    <w:rPr>
      <w:smallCaps/>
      <w:sz w:val="18"/>
      <w:szCs w:val="24"/>
    </w:rPr>
  </w:style>
  <w:style w:type="paragraph" w:styleId="52">
    <w:name w:val="toc 9"/>
    <w:basedOn w:val="1"/>
    <w:next w:val="1"/>
    <w:qFormat/>
    <w:uiPriority w:val="0"/>
    <w:pPr>
      <w:ind w:left="1680"/>
      <w:jc w:val="left"/>
    </w:pPr>
    <w:rPr>
      <w:szCs w:val="21"/>
    </w:rPr>
  </w:style>
  <w:style w:type="paragraph" w:styleId="53">
    <w:name w:val="Body Text 2"/>
    <w:basedOn w:val="1"/>
    <w:link w:val="88"/>
    <w:qFormat/>
    <w:uiPriority w:val="0"/>
    <w:rPr>
      <w:rFonts w:ascii="仿宋_GB2312" w:eastAsia="仿宋_GB2312"/>
      <w:b/>
      <w:sz w:val="24"/>
    </w:rPr>
  </w:style>
  <w:style w:type="paragraph" w:styleId="54">
    <w:name w:val="HTML Preformatted"/>
    <w:basedOn w:val="1"/>
    <w:link w:val="244"/>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rPr>
  </w:style>
  <w:style w:type="paragraph" w:styleId="55">
    <w:name w:val="Normal (Web)"/>
    <w:basedOn w:val="1"/>
    <w:qFormat/>
    <w:uiPriority w:val="0"/>
    <w:pPr>
      <w:widowControl/>
      <w:spacing w:before="100" w:beforeAutospacing="1" w:after="100" w:afterAutospacing="1"/>
      <w:jc w:val="left"/>
    </w:pPr>
    <w:rPr>
      <w:rFonts w:ascii="宋体" w:hAnsi="宋体"/>
      <w:kern w:val="0"/>
      <w:sz w:val="24"/>
      <w:szCs w:val="24"/>
    </w:rPr>
  </w:style>
  <w:style w:type="paragraph" w:styleId="56">
    <w:name w:val="index 2"/>
    <w:basedOn w:val="1"/>
    <w:next w:val="1"/>
    <w:qFormat/>
    <w:uiPriority w:val="0"/>
    <w:pPr>
      <w:ind w:left="200" w:leftChars="200"/>
    </w:pPr>
  </w:style>
  <w:style w:type="paragraph" w:styleId="57">
    <w:name w:val="Title"/>
    <w:basedOn w:val="1"/>
    <w:next w:val="1"/>
    <w:link w:val="92"/>
    <w:qFormat/>
    <w:uiPriority w:val="0"/>
    <w:pPr>
      <w:tabs>
        <w:tab w:val="left" w:pos="425"/>
        <w:tab w:val="left" w:pos="840"/>
      </w:tabs>
      <w:spacing w:before="240" w:after="60"/>
      <w:ind w:left="425" w:hanging="425"/>
      <w:jc w:val="center"/>
      <w:outlineLvl w:val="0"/>
    </w:pPr>
    <w:rPr>
      <w:rFonts w:ascii="黑体" w:hAnsi="Arial" w:eastAsia="黑体" w:cs="Arial"/>
      <w:bCs/>
      <w:sz w:val="32"/>
      <w:szCs w:val="32"/>
    </w:rPr>
  </w:style>
  <w:style w:type="character" w:styleId="59">
    <w:name w:val="Strong"/>
    <w:qFormat/>
    <w:uiPriority w:val="0"/>
    <w:rPr>
      <w:b/>
      <w:bCs/>
    </w:rPr>
  </w:style>
  <w:style w:type="character" w:styleId="60">
    <w:name w:val="page number"/>
    <w:basedOn w:val="58"/>
    <w:qFormat/>
    <w:uiPriority w:val="0"/>
  </w:style>
  <w:style w:type="character" w:styleId="61">
    <w:name w:val="FollowedHyperlink"/>
    <w:qFormat/>
    <w:uiPriority w:val="0"/>
    <w:rPr>
      <w:color w:val="800080"/>
      <w:u w:val="single"/>
    </w:rPr>
  </w:style>
  <w:style w:type="character" w:styleId="62">
    <w:name w:val="Emphasis"/>
    <w:qFormat/>
    <w:uiPriority w:val="0"/>
    <w:rPr>
      <w:color w:val="CC0033"/>
    </w:rPr>
  </w:style>
  <w:style w:type="character" w:styleId="63">
    <w:name w:val="Hyperlink"/>
    <w:qFormat/>
    <w:uiPriority w:val="99"/>
    <w:rPr>
      <w:color w:val="0000FF"/>
      <w:u w:val="single"/>
    </w:rPr>
  </w:style>
  <w:style w:type="character" w:styleId="64">
    <w:name w:val="annotation reference"/>
    <w:qFormat/>
    <w:uiPriority w:val="0"/>
    <w:rPr>
      <w:sz w:val="21"/>
      <w:szCs w:val="21"/>
    </w:rPr>
  </w:style>
  <w:style w:type="table" w:styleId="66">
    <w:name w:val="Table Grid"/>
    <w:basedOn w:val="65"/>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67">
    <w:name w:val="批注文字 Char"/>
    <w:qFormat/>
    <w:uiPriority w:val="0"/>
    <w:rPr>
      <w:rFonts w:ascii="Times New Roman" w:hAnsi="Times New Roman" w:eastAsia="宋体" w:cs="Times New Roman"/>
      <w:szCs w:val="20"/>
    </w:rPr>
  </w:style>
  <w:style w:type="character" w:customStyle="1" w:styleId="68">
    <w:name w:val="标题 2 Char1"/>
    <w:link w:val="3"/>
    <w:qFormat/>
    <w:uiPriority w:val="0"/>
    <w:rPr>
      <w:rFonts w:ascii="Arial" w:hAnsi="Arial" w:eastAsia="黑体"/>
      <w:b/>
      <w:bCs/>
      <w:kern w:val="2"/>
      <w:sz w:val="32"/>
      <w:szCs w:val="32"/>
      <w:lang w:val="en-US" w:eastAsia="zh-CN" w:bidi="ar-SA"/>
    </w:rPr>
  </w:style>
  <w:style w:type="character" w:customStyle="1" w:styleId="69">
    <w:name w:val="日期 Char1"/>
    <w:link w:val="36"/>
    <w:qFormat/>
    <w:uiPriority w:val="0"/>
    <w:rPr>
      <w:rFonts w:eastAsia="宋体"/>
      <w:b/>
      <w:kern w:val="2"/>
      <w:sz w:val="28"/>
      <w:lang w:val="en-US" w:eastAsia="zh-CN" w:bidi="ar-SA"/>
    </w:rPr>
  </w:style>
  <w:style w:type="character" w:customStyle="1" w:styleId="70">
    <w:name w:val="正文文本缩进 Char1"/>
    <w:qFormat/>
    <w:uiPriority w:val="0"/>
    <w:rPr>
      <w:kern w:val="2"/>
      <w:sz w:val="21"/>
      <w:szCs w:val="24"/>
    </w:rPr>
  </w:style>
  <w:style w:type="character" w:customStyle="1" w:styleId="71">
    <w:name w:val="样式 首行缩进:  2 字符 Char1"/>
    <w:link w:val="72"/>
    <w:qFormat/>
    <w:locked/>
    <w:uiPriority w:val="0"/>
    <w:rPr>
      <w:sz w:val="24"/>
      <w:lang w:bidi="ar-SA"/>
    </w:rPr>
  </w:style>
  <w:style w:type="paragraph" w:customStyle="1" w:styleId="72">
    <w:name w:val="样式 首行缩进:  2 字符"/>
    <w:basedOn w:val="1"/>
    <w:link w:val="71"/>
    <w:qFormat/>
    <w:uiPriority w:val="0"/>
    <w:pPr>
      <w:spacing w:line="480" w:lineRule="exact"/>
      <w:ind w:firstLine="480" w:firstLineChars="200"/>
    </w:pPr>
    <w:rPr>
      <w:kern w:val="0"/>
      <w:sz w:val="24"/>
    </w:rPr>
  </w:style>
  <w:style w:type="character" w:customStyle="1" w:styleId="73">
    <w:name w:val="副标题 Char2"/>
    <w:link w:val="45"/>
    <w:qFormat/>
    <w:uiPriority w:val="0"/>
    <w:rPr>
      <w:rFonts w:ascii="Arial" w:hAnsi="Arial" w:eastAsia="宋体" w:cs="Arial"/>
      <w:b/>
      <w:bCs/>
      <w:kern w:val="28"/>
      <w:sz w:val="32"/>
      <w:szCs w:val="32"/>
      <w:lang w:val="en-US" w:eastAsia="zh-CN" w:bidi="ar-SA"/>
    </w:rPr>
  </w:style>
  <w:style w:type="character" w:customStyle="1" w:styleId="74">
    <w:name w:val="标题 1 Char1"/>
    <w:qFormat/>
    <w:uiPriority w:val="0"/>
    <w:rPr>
      <w:b/>
      <w:bCs/>
      <w:kern w:val="44"/>
      <w:sz w:val="44"/>
      <w:szCs w:val="44"/>
    </w:rPr>
  </w:style>
  <w:style w:type="character" w:customStyle="1" w:styleId="75">
    <w:name w:val="纯文本 字符"/>
    <w:qFormat/>
    <w:uiPriority w:val="0"/>
    <w:rPr>
      <w:rFonts w:ascii="宋体" w:hAnsi="Courier New"/>
      <w:kern w:val="2"/>
      <w:sz w:val="21"/>
    </w:rPr>
  </w:style>
  <w:style w:type="character" w:customStyle="1" w:styleId="76">
    <w:name w:val="标题 6 Char1"/>
    <w:link w:val="7"/>
    <w:qFormat/>
    <w:uiPriority w:val="0"/>
    <w:rPr>
      <w:rFonts w:ascii="宋体" w:hAnsi="宋体" w:eastAsia="宋体"/>
      <w:sz w:val="28"/>
      <w:lang w:val="en-US" w:eastAsia="zh-CN" w:bidi="ar-SA"/>
    </w:rPr>
  </w:style>
  <w:style w:type="character" w:customStyle="1" w:styleId="77">
    <w:name w:val="普通文字1 Char1"/>
    <w:qFormat/>
    <w:uiPriority w:val="0"/>
    <w:rPr>
      <w:rFonts w:ascii="宋体" w:hAnsi="Courier New" w:cs="Courier New"/>
      <w:kern w:val="2"/>
      <w:sz w:val="21"/>
      <w:szCs w:val="21"/>
    </w:rPr>
  </w:style>
  <w:style w:type="character" w:customStyle="1" w:styleId="78">
    <w:name w:val="批注框文本 Char1"/>
    <w:link w:val="38"/>
    <w:semiHidden/>
    <w:qFormat/>
    <w:uiPriority w:val="99"/>
    <w:rPr>
      <w:rFonts w:eastAsia="宋体"/>
      <w:kern w:val="2"/>
      <w:sz w:val="18"/>
      <w:szCs w:val="18"/>
      <w:lang w:val="en-US" w:eastAsia="zh-CN" w:bidi="ar-SA"/>
    </w:rPr>
  </w:style>
  <w:style w:type="character" w:customStyle="1" w:styleId="79">
    <w:name w:val="标题 4 Char1"/>
    <w:link w:val="5"/>
    <w:qFormat/>
    <w:uiPriority w:val="0"/>
    <w:rPr>
      <w:rFonts w:ascii="Arial" w:hAnsi="Arial" w:eastAsia="黑体"/>
      <w:b/>
      <w:bCs/>
      <w:kern w:val="2"/>
      <w:sz w:val="28"/>
      <w:szCs w:val="28"/>
      <w:lang w:val="en-US" w:eastAsia="zh-CN" w:bidi="ar-SA"/>
    </w:rPr>
  </w:style>
  <w:style w:type="character" w:customStyle="1" w:styleId="80">
    <w:name w:val="标题 1 Char2"/>
    <w:link w:val="2"/>
    <w:qFormat/>
    <w:uiPriority w:val="0"/>
    <w:rPr>
      <w:rFonts w:eastAsia="宋体"/>
      <w:b/>
      <w:bCs/>
      <w:kern w:val="44"/>
      <w:sz w:val="30"/>
      <w:szCs w:val="44"/>
      <w:lang w:val="en-US" w:eastAsia="zh-CN" w:bidi="ar-SA"/>
    </w:rPr>
  </w:style>
  <w:style w:type="character" w:customStyle="1" w:styleId="81">
    <w:name w:val="页脚 Char1"/>
    <w:link w:val="39"/>
    <w:qFormat/>
    <w:uiPriority w:val="99"/>
    <w:rPr>
      <w:rFonts w:eastAsia="宋体"/>
      <w:kern w:val="2"/>
      <w:sz w:val="18"/>
      <w:szCs w:val="18"/>
      <w:lang w:val="en-US" w:eastAsia="zh-CN" w:bidi="ar-SA"/>
    </w:rPr>
  </w:style>
  <w:style w:type="character" w:customStyle="1" w:styleId="82">
    <w:name w:val="标题 5 Char1"/>
    <w:link w:val="6"/>
    <w:qFormat/>
    <w:uiPriority w:val="0"/>
    <w:rPr>
      <w:rFonts w:ascii="宋体" w:hAnsi="Arial" w:eastAsia="宋体"/>
      <w:bCs/>
      <w:kern w:val="2"/>
      <w:sz w:val="28"/>
      <w:lang w:val="en-US" w:eastAsia="zh-CN" w:bidi="ar-SA"/>
    </w:rPr>
  </w:style>
  <w:style w:type="character" w:customStyle="1" w:styleId="83">
    <w:name w:val="文档 Char"/>
    <w:link w:val="84"/>
    <w:qFormat/>
    <w:locked/>
    <w:uiPriority w:val="0"/>
    <w:rPr>
      <w:sz w:val="24"/>
      <w:szCs w:val="24"/>
      <w:lang w:bidi="ar-SA"/>
    </w:rPr>
  </w:style>
  <w:style w:type="paragraph" w:customStyle="1" w:styleId="84">
    <w:name w:val="文档"/>
    <w:basedOn w:val="1"/>
    <w:link w:val="83"/>
    <w:qFormat/>
    <w:uiPriority w:val="0"/>
    <w:pPr>
      <w:adjustRightInd w:val="0"/>
      <w:snapToGrid w:val="0"/>
      <w:spacing w:afterLines="50"/>
      <w:ind w:firstLine="480" w:firstLineChars="200"/>
      <w:jc w:val="left"/>
    </w:pPr>
    <w:rPr>
      <w:kern w:val="0"/>
      <w:sz w:val="24"/>
      <w:szCs w:val="24"/>
    </w:rPr>
  </w:style>
  <w:style w:type="character" w:customStyle="1" w:styleId="85">
    <w:name w:val="正文缩进 Char"/>
    <w:link w:val="18"/>
    <w:qFormat/>
    <w:uiPriority w:val="0"/>
    <w:rPr>
      <w:rFonts w:ascii="Calibri" w:hAnsi="Calibri" w:eastAsia="宋体" w:cs="Plotter"/>
      <w:kern w:val="2"/>
      <w:sz w:val="24"/>
      <w:szCs w:val="24"/>
      <w:lang w:val="en-US" w:eastAsia="zh-CN" w:bidi="ar-SA"/>
    </w:rPr>
  </w:style>
  <w:style w:type="character" w:customStyle="1" w:styleId="86">
    <w:name w:val="Date Char"/>
    <w:qFormat/>
    <w:locked/>
    <w:uiPriority w:val="0"/>
    <w:rPr>
      <w:rFonts w:eastAsia="宋体"/>
      <w:b/>
      <w:kern w:val="2"/>
      <w:sz w:val="28"/>
      <w:lang w:val="en-US" w:eastAsia="zh-CN" w:bidi="ar-SA"/>
    </w:rPr>
  </w:style>
  <w:style w:type="character" w:customStyle="1" w:styleId="87">
    <w:name w:val="标题 8 Char1"/>
    <w:link w:val="9"/>
    <w:qFormat/>
    <w:uiPriority w:val="0"/>
    <w:rPr>
      <w:rFonts w:eastAsia="宋体"/>
      <w:sz w:val="24"/>
      <w:lang w:val="en-US" w:eastAsia="zh-CN" w:bidi="ar-SA"/>
    </w:rPr>
  </w:style>
  <w:style w:type="character" w:customStyle="1" w:styleId="88">
    <w:name w:val="正文文本 2 Char1"/>
    <w:link w:val="53"/>
    <w:qFormat/>
    <w:uiPriority w:val="0"/>
    <w:rPr>
      <w:rFonts w:ascii="仿宋_GB2312" w:eastAsia="仿宋_GB2312"/>
      <w:b/>
      <w:kern w:val="2"/>
      <w:sz w:val="24"/>
      <w:lang w:val="en-US" w:eastAsia="zh-CN" w:bidi="ar-SA"/>
    </w:rPr>
  </w:style>
  <w:style w:type="character" w:customStyle="1" w:styleId="89">
    <w:name w:val="批注文字 Char3"/>
    <w:link w:val="12"/>
    <w:qFormat/>
    <w:uiPriority w:val="0"/>
    <w:rPr>
      <w:rFonts w:eastAsia="宋体"/>
      <w:kern w:val="2"/>
      <w:sz w:val="21"/>
      <w:lang w:val="en-US" w:eastAsia="zh-CN" w:bidi="ar-SA"/>
    </w:rPr>
  </w:style>
  <w:style w:type="character" w:customStyle="1" w:styleId="90">
    <w:name w:val="纯文本 Char"/>
    <w:link w:val="33"/>
    <w:qFormat/>
    <w:locked/>
    <w:uiPriority w:val="0"/>
    <w:rPr>
      <w:rFonts w:ascii="宋体" w:hAnsi="Courier New" w:eastAsia="宋体"/>
      <w:kern w:val="2"/>
      <w:sz w:val="21"/>
      <w:lang w:val="en-US" w:eastAsia="zh-CN" w:bidi="ar-SA"/>
    </w:rPr>
  </w:style>
  <w:style w:type="character" w:customStyle="1" w:styleId="91">
    <w:name w:val="正文文本缩进 2 Char1"/>
    <w:link w:val="37"/>
    <w:qFormat/>
    <w:uiPriority w:val="0"/>
    <w:rPr>
      <w:rFonts w:ascii="Arial" w:hAnsi="Arial" w:eastAsia="仿宋_GB2312"/>
      <w:kern w:val="2"/>
      <w:sz w:val="32"/>
      <w:lang w:val="en-US" w:eastAsia="zh-CN" w:bidi="ar-SA"/>
    </w:rPr>
  </w:style>
  <w:style w:type="character" w:customStyle="1" w:styleId="92">
    <w:name w:val="标题 Char3"/>
    <w:link w:val="57"/>
    <w:qFormat/>
    <w:uiPriority w:val="0"/>
    <w:rPr>
      <w:rFonts w:ascii="黑体" w:hAnsi="Arial" w:eastAsia="黑体" w:cs="Arial"/>
      <w:bCs/>
      <w:kern w:val="2"/>
      <w:sz w:val="32"/>
      <w:szCs w:val="32"/>
      <w:lang w:val="en-US" w:eastAsia="zh-CN" w:bidi="ar-SA"/>
    </w:rPr>
  </w:style>
  <w:style w:type="character" w:customStyle="1" w:styleId="93">
    <w:name w:val="标题 7 Char1"/>
    <w:link w:val="8"/>
    <w:qFormat/>
    <w:uiPriority w:val="0"/>
    <w:rPr>
      <w:rFonts w:ascii="Arial" w:hAnsi="Arial" w:eastAsia="仿宋_GB2312" w:cs="Arial"/>
      <w:b/>
      <w:bCs/>
      <w:spacing w:val="-4"/>
      <w:kern w:val="2"/>
      <w:sz w:val="24"/>
      <w:szCs w:val="24"/>
      <w:lang w:val="en-US" w:eastAsia="zh-CN" w:bidi="ar-SA"/>
    </w:rPr>
  </w:style>
  <w:style w:type="character" w:customStyle="1" w:styleId="94">
    <w:name w:val="正文文本缩进 3 Char1"/>
    <w:link w:val="48"/>
    <w:qFormat/>
    <w:uiPriority w:val="0"/>
    <w:rPr>
      <w:rFonts w:ascii="仿宋_GB2312" w:hAnsi="Arial" w:eastAsia="仿宋_GB2312"/>
      <w:color w:val="000000"/>
      <w:kern w:val="2"/>
      <w:sz w:val="30"/>
      <w:lang w:val="en-US" w:eastAsia="zh-CN" w:bidi="ar-SA"/>
    </w:rPr>
  </w:style>
  <w:style w:type="character" w:customStyle="1" w:styleId="95">
    <w:name w:val="末级 Char Char"/>
    <w:link w:val="96"/>
    <w:qFormat/>
    <w:locked/>
    <w:uiPriority w:val="0"/>
    <w:rPr>
      <w:sz w:val="24"/>
      <w:szCs w:val="24"/>
      <w:lang w:bidi="ar-SA"/>
    </w:rPr>
  </w:style>
  <w:style w:type="paragraph" w:customStyle="1" w:styleId="96">
    <w:name w:val="末级"/>
    <w:basedOn w:val="1"/>
    <w:link w:val="95"/>
    <w:qFormat/>
    <w:uiPriority w:val="0"/>
    <w:pPr>
      <w:tabs>
        <w:tab w:val="left" w:pos="964"/>
        <w:tab w:val="left" w:pos="2502"/>
      </w:tabs>
      <w:spacing w:line="360" w:lineRule="auto"/>
      <w:ind w:left="2502" w:hanging="432"/>
    </w:pPr>
    <w:rPr>
      <w:kern w:val="0"/>
      <w:sz w:val="24"/>
      <w:szCs w:val="24"/>
    </w:rPr>
  </w:style>
  <w:style w:type="character" w:customStyle="1" w:styleId="97">
    <w:name w:val="标题 Char1"/>
    <w:qFormat/>
    <w:uiPriority w:val="0"/>
    <w:rPr>
      <w:rFonts w:hint="default" w:ascii="Cambria" w:hAnsi="Cambria" w:cs="Times New Roman"/>
      <w:b/>
      <w:bCs/>
      <w:kern w:val="2"/>
      <w:sz w:val="32"/>
      <w:szCs w:val="32"/>
    </w:rPr>
  </w:style>
  <w:style w:type="character" w:customStyle="1" w:styleId="98">
    <w:name w:val="标题 3 Char1"/>
    <w:link w:val="4"/>
    <w:qFormat/>
    <w:uiPriority w:val="0"/>
    <w:rPr>
      <w:rFonts w:ascii="宋体" w:eastAsia="宋体"/>
      <w:b/>
      <w:bCs/>
      <w:kern w:val="2"/>
      <w:sz w:val="32"/>
      <w:szCs w:val="32"/>
      <w:lang w:val="en-US" w:eastAsia="zh-CN" w:bidi="ar-SA"/>
    </w:rPr>
  </w:style>
  <w:style w:type="character" w:customStyle="1" w:styleId="99">
    <w:name w:val="正文文本 3 Char1"/>
    <w:link w:val="24"/>
    <w:qFormat/>
    <w:uiPriority w:val="0"/>
    <w:rPr>
      <w:rFonts w:ascii="黑体" w:hAnsi="Arial" w:eastAsia="黑体"/>
      <w:b/>
      <w:kern w:val="2"/>
      <w:sz w:val="28"/>
      <w:lang w:val="en-US" w:eastAsia="zh-CN" w:bidi="ar-SA"/>
    </w:rPr>
  </w:style>
  <w:style w:type="character" w:customStyle="1" w:styleId="100">
    <w:name w:val="标题 9 Char1"/>
    <w:link w:val="10"/>
    <w:qFormat/>
    <w:uiPriority w:val="0"/>
    <w:rPr>
      <w:rFonts w:eastAsia="宋体"/>
      <w:sz w:val="24"/>
      <w:lang w:val="en-US" w:eastAsia="zh-CN" w:bidi="ar-SA"/>
    </w:rPr>
  </w:style>
  <w:style w:type="character" w:customStyle="1" w:styleId="101">
    <w:name w:val="正文文本 Char1"/>
    <w:qFormat/>
    <w:uiPriority w:val="0"/>
    <w:rPr>
      <w:kern w:val="2"/>
      <w:sz w:val="21"/>
      <w:szCs w:val="24"/>
    </w:rPr>
  </w:style>
  <w:style w:type="character" w:customStyle="1" w:styleId="102">
    <w:name w:val="正文段落 m14 Char Char"/>
    <w:link w:val="103"/>
    <w:qFormat/>
    <w:locked/>
    <w:uiPriority w:val="0"/>
    <w:rPr>
      <w:rFonts w:eastAsia="Times New Roman"/>
      <w:sz w:val="24"/>
      <w:lang w:val="en-US" w:eastAsia="zh-CN" w:bidi="ar-SA"/>
    </w:rPr>
  </w:style>
  <w:style w:type="paragraph" w:customStyle="1" w:styleId="103">
    <w:name w:val="正文段落 m14"/>
    <w:link w:val="102"/>
    <w:qFormat/>
    <w:uiPriority w:val="0"/>
    <w:pPr>
      <w:adjustRightInd w:val="0"/>
      <w:snapToGrid w:val="0"/>
      <w:spacing w:beforeLines="50" w:line="360" w:lineRule="auto"/>
      <w:ind w:firstLine="480" w:firstLineChars="200"/>
    </w:pPr>
    <w:rPr>
      <w:rFonts w:ascii="Times New Roman" w:hAnsi="Times New Roman" w:eastAsia="Times New Roman" w:cs="Times New Roman"/>
      <w:sz w:val="24"/>
      <w:lang w:val="en-US" w:eastAsia="zh-CN" w:bidi="ar-SA"/>
    </w:rPr>
  </w:style>
  <w:style w:type="character" w:customStyle="1" w:styleId="104">
    <w:name w:val="正文文本 Char3"/>
    <w:link w:val="26"/>
    <w:qFormat/>
    <w:uiPriority w:val="0"/>
    <w:rPr>
      <w:rFonts w:ascii="宋体" w:hAnsi="Arial" w:eastAsia="宋体"/>
      <w:kern w:val="2"/>
      <w:sz w:val="28"/>
      <w:lang w:val="en-US" w:eastAsia="zh-CN" w:bidi="ar-SA"/>
    </w:rPr>
  </w:style>
  <w:style w:type="character" w:customStyle="1" w:styleId="105">
    <w:name w:val="页眉 Char1"/>
    <w:link w:val="40"/>
    <w:qFormat/>
    <w:uiPriority w:val="99"/>
    <w:rPr>
      <w:rFonts w:eastAsia="宋体"/>
      <w:kern w:val="2"/>
      <w:sz w:val="18"/>
      <w:szCs w:val="18"/>
      <w:lang w:val="en-US" w:eastAsia="zh-CN" w:bidi="ar-SA"/>
    </w:rPr>
  </w:style>
  <w:style w:type="character" w:customStyle="1" w:styleId="106">
    <w:name w:val="批注主题 Char1"/>
    <w:link w:val="11"/>
    <w:qFormat/>
    <w:uiPriority w:val="0"/>
    <w:rPr>
      <w:rFonts w:eastAsia="宋体"/>
      <w:b/>
      <w:bCs/>
      <w:sz w:val="24"/>
      <w:lang w:val="en-US" w:eastAsia="zh-CN" w:bidi="ar-SA"/>
    </w:rPr>
  </w:style>
  <w:style w:type="character" w:customStyle="1" w:styleId="107">
    <w:name w:val="文档结构图 Char1"/>
    <w:link w:val="21"/>
    <w:qFormat/>
    <w:uiPriority w:val="0"/>
    <w:rPr>
      <w:rFonts w:eastAsia="宋体"/>
      <w:kern w:val="2"/>
      <w:sz w:val="21"/>
      <w:lang w:val="en-US" w:eastAsia="zh-CN" w:bidi="ar-SA"/>
    </w:rPr>
  </w:style>
  <w:style w:type="character" w:customStyle="1" w:styleId="108">
    <w:name w:val="正文文本缩进 Char2"/>
    <w:link w:val="27"/>
    <w:qFormat/>
    <w:uiPriority w:val="0"/>
    <w:rPr>
      <w:rFonts w:ascii="楷体_GB2312" w:eastAsia="楷体_GB2312"/>
      <w:kern w:val="2"/>
      <w:sz w:val="32"/>
      <w:lang w:val="en-US" w:eastAsia="zh-CN" w:bidi="ar-SA"/>
    </w:rPr>
  </w:style>
  <w:style w:type="character" w:customStyle="1" w:styleId="109">
    <w:name w:val="Char Char1"/>
    <w:qFormat/>
    <w:uiPriority w:val="0"/>
    <w:rPr>
      <w:rFonts w:hint="eastAsia" w:ascii="宋体" w:hAnsi="宋体" w:eastAsia="宋体"/>
      <w:sz w:val="24"/>
      <w:u w:val="single"/>
      <w:lang w:val="en-US" w:eastAsia="zh-CN" w:bidi="ar-SA"/>
    </w:rPr>
  </w:style>
  <w:style w:type="character" w:customStyle="1" w:styleId="110">
    <w:name w:val="Char2"/>
    <w:qFormat/>
    <w:uiPriority w:val="0"/>
    <w:rPr>
      <w:rFonts w:hint="eastAsia" w:ascii="黑体" w:hAnsi="Arial" w:eastAsia="黑体" w:cs="Arial"/>
      <w:bCs/>
      <w:kern w:val="2"/>
      <w:sz w:val="32"/>
      <w:szCs w:val="32"/>
      <w:lang w:val="en-US" w:eastAsia="zh-CN" w:bidi="ar-SA"/>
    </w:rPr>
  </w:style>
  <w:style w:type="character" w:customStyle="1" w:styleId="111">
    <w:name w:val="正文首行缩进 Char1"/>
    <w:link w:val="14"/>
    <w:qFormat/>
    <w:uiPriority w:val="0"/>
    <w:rPr>
      <w:rFonts w:ascii="Arial" w:hAnsi="Arial" w:eastAsia="仿宋_GB2312" w:cs="Arial"/>
      <w:sz w:val="24"/>
      <w:szCs w:val="32"/>
      <w:lang w:val="en-US" w:eastAsia="zh-CN" w:bidi="ar-SA"/>
    </w:rPr>
  </w:style>
  <w:style w:type="paragraph" w:customStyle="1" w:styleId="112">
    <w:name w:val="列出段落1"/>
    <w:basedOn w:val="1"/>
    <w:qFormat/>
    <w:uiPriority w:val="34"/>
    <w:pPr>
      <w:adjustRightInd w:val="0"/>
      <w:spacing w:line="360" w:lineRule="atLeast"/>
      <w:ind w:firstLine="420" w:firstLineChars="200"/>
      <w:jc w:val="left"/>
    </w:pPr>
    <w:rPr>
      <w:kern w:val="0"/>
      <w:sz w:val="24"/>
    </w:rPr>
  </w:style>
  <w:style w:type="paragraph" w:customStyle="1" w:styleId="113">
    <w:name w:val="样式8"/>
    <w:basedOn w:val="114"/>
    <w:qFormat/>
    <w:uiPriority w:val="0"/>
    <w:pPr>
      <w:keepNext/>
      <w:keepLines/>
      <w:tabs>
        <w:tab w:val="left" w:pos="709"/>
      </w:tabs>
      <w:spacing w:beforeLines="100"/>
      <w:ind w:left="0" w:firstLine="0"/>
      <w:jc w:val="center"/>
      <w:textAlignment w:val="auto"/>
      <w:outlineLvl w:val="1"/>
    </w:pPr>
    <w:rPr>
      <w:rFonts w:ascii="黑体" w:hAnsi="Times New Roman" w:eastAsia="黑体"/>
      <w:sz w:val="36"/>
      <w:szCs w:val="36"/>
    </w:rPr>
  </w:style>
  <w:style w:type="paragraph" w:customStyle="1" w:styleId="114">
    <w:name w:val="样式1"/>
    <w:basedOn w:val="1"/>
    <w:qFormat/>
    <w:uiPriority w:val="0"/>
    <w:pPr>
      <w:tabs>
        <w:tab w:val="left" w:pos="709"/>
      </w:tabs>
      <w:adjustRightInd w:val="0"/>
      <w:ind w:left="709" w:hanging="709"/>
      <w:textAlignment w:val="baseline"/>
    </w:pPr>
    <w:rPr>
      <w:rFonts w:ascii="宋体" w:hAnsi="宋体"/>
      <w:kern w:val="0"/>
    </w:rPr>
  </w:style>
  <w:style w:type="paragraph" w:customStyle="1" w:styleId="115">
    <w:name w:val="一级标题"/>
    <w:basedOn w:val="1"/>
    <w:next w:val="116"/>
    <w:qFormat/>
    <w:uiPriority w:val="0"/>
    <w:pPr>
      <w:tabs>
        <w:tab w:val="left" w:pos="425"/>
        <w:tab w:val="left" w:pos="1418"/>
      </w:tabs>
      <w:spacing w:afterLines="100"/>
      <w:ind w:left="850" w:hanging="425"/>
      <w:outlineLvl w:val="0"/>
    </w:pPr>
    <w:rPr>
      <w:rFonts w:ascii="黑体" w:eastAsia="黑体"/>
      <w:sz w:val="30"/>
      <w:szCs w:val="28"/>
    </w:rPr>
  </w:style>
  <w:style w:type="paragraph" w:customStyle="1" w:styleId="116">
    <w:name w:val="二级标题"/>
    <w:basedOn w:val="1"/>
    <w:next w:val="117"/>
    <w:qFormat/>
    <w:uiPriority w:val="0"/>
    <w:pPr>
      <w:tabs>
        <w:tab w:val="left" w:pos="992"/>
      </w:tabs>
      <w:ind w:left="992" w:hanging="567"/>
      <w:outlineLvl w:val="1"/>
    </w:pPr>
    <w:rPr>
      <w:rFonts w:ascii="黑体" w:eastAsia="黑体"/>
      <w:sz w:val="28"/>
      <w:szCs w:val="24"/>
    </w:rPr>
  </w:style>
  <w:style w:type="paragraph" w:customStyle="1" w:styleId="117">
    <w:name w:val="文章正文"/>
    <w:basedOn w:val="1"/>
    <w:qFormat/>
    <w:uiPriority w:val="0"/>
    <w:pPr>
      <w:tabs>
        <w:tab w:val="left" w:pos="992"/>
      </w:tabs>
      <w:spacing w:beforeLines="50" w:afterLines="50" w:line="320" w:lineRule="exact"/>
      <w:ind w:firstLine="200" w:firstLineChars="200"/>
    </w:pPr>
    <w:rPr>
      <w:rFonts w:ascii="仿宋_GB2312" w:eastAsia="仿宋_GB2312"/>
      <w:sz w:val="28"/>
      <w:szCs w:val="24"/>
    </w:rPr>
  </w:style>
  <w:style w:type="paragraph" w:customStyle="1" w:styleId="118">
    <w:name w:val="通用"/>
    <w:basedOn w:val="1"/>
    <w:qFormat/>
    <w:uiPriority w:val="0"/>
    <w:pPr>
      <w:spacing w:line="360" w:lineRule="auto"/>
      <w:ind w:left="42"/>
    </w:pPr>
    <w:rPr>
      <w:rFonts w:ascii="宋体"/>
      <w:b/>
      <w:sz w:val="24"/>
    </w:rPr>
  </w:style>
  <w:style w:type="paragraph" w:customStyle="1" w:styleId="119">
    <w:name w:val="SUR-需求定义-第4级"/>
    <w:basedOn w:val="5"/>
    <w:next w:val="1"/>
    <w:qFormat/>
    <w:uiPriority w:val="0"/>
    <w:pPr>
      <w:tabs>
        <w:tab w:val="left" w:pos="1080"/>
      </w:tabs>
      <w:spacing w:before="0" w:after="0"/>
      <w:ind w:left="-283" w:firstLine="283"/>
      <w:jc w:val="left"/>
    </w:pPr>
    <w:rPr>
      <w:rFonts w:cs="Arial"/>
      <w:b w:val="0"/>
      <w:color w:val="0000FF"/>
      <w:sz w:val="24"/>
      <w:szCs w:val="24"/>
    </w:rPr>
  </w:style>
  <w:style w:type="paragraph" w:customStyle="1" w:styleId="120">
    <w:name w:val="Blockquote"/>
    <w:basedOn w:val="1"/>
    <w:qFormat/>
    <w:uiPriority w:val="0"/>
    <w:pPr>
      <w:autoSpaceDE w:val="0"/>
      <w:autoSpaceDN w:val="0"/>
      <w:adjustRightInd w:val="0"/>
      <w:spacing w:before="100" w:after="100"/>
      <w:ind w:left="360" w:right="360"/>
      <w:jc w:val="left"/>
    </w:pPr>
    <w:rPr>
      <w:kern w:val="0"/>
      <w:sz w:val="24"/>
    </w:rPr>
  </w:style>
  <w:style w:type="paragraph" w:customStyle="1" w:styleId="121">
    <w:name w:val="TOC 标题1"/>
    <w:basedOn w:val="2"/>
    <w:next w:val="1"/>
    <w:qFormat/>
    <w:uiPriority w:val="0"/>
    <w:pPr>
      <w:adjustRightInd w:val="0"/>
      <w:snapToGrid w:val="0"/>
      <w:spacing w:before="0" w:afterLines="50" w:line="360" w:lineRule="auto"/>
      <w:jc w:val="left"/>
      <w:outlineLvl w:val="9"/>
    </w:pPr>
    <w:rPr>
      <w:sz w:val="28"/>
      <w:lang w:eastAsia="en-US" w:bidi="en-US"/>
    </w:rPr>
  </w:style>
  <w:style w:type="paragraph" w:customStyle="1" w:styleId="122">
    <w:name w:val="Char3 Char Char Char"/>
    <w:basedOn w:val="1"/>
    <w:qFormat/>
    <w:uiPriority w:val="0"/>
    <w:rPr>
      <w:rFonts w:ascii="仿宋_GB2312" w:eastAsia="仿宋_GB2312"/>
      <w:b/>
      <w:sz w:val="32"/>
      <w:szCs w:val="32"/>
    </w:rPr>
  </w:style>
  <w:style w:type="paragraph" w:customStyle="1" w:styleId="123">
    <w:name w:val="p0"/>
    <w:basedOn w:val="1"/>
    <w:qFormat/>
    <w:uiPriority w:val="0"/>
    <w:pPr>
      <w:widowControl/>
    </w:pPr>
    <w:rPr>
      <w:kern w:val="0"/>
      <w:szCs w:val="21"/>
    </w:rPr>
  </w:style>
  <w:style w:type="paragraph" w:customStyle="1" w:styleId="124">
    <w:name w:val="格式2"/>
    <w:basedOn w:val="3"/>
    <w:qFormat/>
    <w:uiPriority w:val="0"/>
    <w:pPr>
      <w:autoSpaceDE w:val="0"/>
      <w:autoSpaceDN w:val="0"/>
      <w:adjustRightInd w:val="0"/>
      <w:spacing w:line="416" w:lineRule="atLeast"/>
      <w:ind w:firstLine="0"/>
      <w:jc w:val="both"/>
    </w:pPr>
    <w:rPr>
      <w:rFonts w:ascii="黑体" w:hAnsi="Times New Roman"/>
      <w:b w:val="0"/>
      <w:kern w:val="0"/>
      <w:sz w:val="30"/>
      <w:szCs w:val="20"/>
    </w:rPr>
  </w:style>
  <w:style w:type="paragraph" w:customStyle="1" w:styleId="125">
    <w:name w:val="font8"/>
    <w:basedOn w:val="1"/>
    <w:qFormat/>
    <w:uiPriority w:val="0"/>
    <w:pPr>
      <w:widowControl/>
      <w:spacing w:before="100" w:beforeAutospacing="1" w:after="100" w:afterAutospacing="1"/>
      <w:jc w:val="left"/>
    </w:pPr>
    <w:rPr>
      <w:rFonts w:hint="eastAsia" w:ascii="宋体" w:hAnsi="宋体"/>
      <w:color w:val="000000"/>
      <w:kern w:val="0"/>
      <w:sz w:val="32"/>
      <w:szCs w:val="32"/>
    </w:rPr>
  </w:style>
  <w:style w:type="paragraph" w:customStyle="1" w:styleId="126">
    <w:name w:val="正文文本1"/>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27">
    <w:name w:val="正文（缩进）"/>
    <w:basedOn w:val="1"/>
    <w:qFormat/>
    <w:uiPriority w:val="0"/>
    <w:pPr>
      <w:widowControl/>
      <w:spacing w:before="156" w:after="156"/>
      <w:ind w:firstLine="480" w:firstLineChars="200"/>
      <w:jc w:val="left"/>
    </w:pPr>
    <w:rPr>
      <w:rFonts w:ascii="仿宋_GB2312" w:eastAsia="仿宋_GB2312"/>
      <w:kern w:val="0"/>
      <w:sz w:val="24"/>
      <w:szCs w:val="24"/>
    </w:rPr>
  </w:style>
  <w:style w:type="paragraph" w:customStyle="1" w:styleId="128">
    <w:name w:val="p15"/>
    <w:basedOn w:val="1"/>
    <w:qFormat/>
    <w:uiPriority w:val="0"/>
    <w:pPr>
      <w:widowControl/>
      <w:jc w:val="center"/>
    </w:pPr>
    <w:rPr>
      <w:rFonts w:ascii="仿宋_GB2312" w:hAnsi="宋体" w:eastAsia="仿宋_GB2312" w:cs="宋体"/>
      <w:b/>
      <w:bCs/>
      <w:kern w:val="0"/>
      <w:sz w:val="28"/>
      <w:szCs w:val="28"/>
    </w:rPr>
  </w:style>
  <w:style w:type="paragraph" w:customStyle="1" w:styleId="129">
    <w:name w:val="_Style 1"/>
    <w:basedOn w:val="1"/>
    <w:qFormat/>
    <w:uiPriority w:val="34"/>
    <w:pPr>
      <w:ind w:firstLine="420" w:firstLineChars="200"/>
    </w:pPr>
  </w:style>
  <w:style w:type="paragraph" w:customStyle="1" w:styleId="130">
    <w:name w:val="Char1"/>
    <w:basedOn w:val="1"/>
    <w:qFormat/>
    <w:uiPriority w:val="0"/>
    <w:rPr>
      <w:szCs w:val="24"/>
    </w:rPr>
  </w:style>
  <w:style w:type="paragraph" w:customStyle="1" w:styleId="131">
    <w:name w:val="_Style 2"/>
    <w:basedOn w:val="1"/>
    <w:qFormat/>
    <w:uiPriority w:val="0"/>
    <w:pPr>
      <w:widowControl/>
      <w:ind w:firstLine="420" w:firstLineChars="200"/>
      <w:jc w:val="left"/>
    </w:pPr>
    <w:rPr>
      <w:rFonts w:ascii="宋体" w:hAnsi="宋体" w:cs="宋体"/>
      <w:color w:val="000000"/>
      <w:kern w:val="0"/>
      <w:sz w:val="24"/>
    </w:rPr>
  </w:style>
  <w:style w:type="paragraph" w:customStyle="1" w:styleId="132">
    <w:name w:val="Char Char Char Char Char"/>
    <w:basedOn w:val="1"/>
    <w:qFormat/>
    <w:uiPriority w:val="0"/>
    <w:pPr>
      <w:ind w:firstLine="360" w:firstLineChars="150"/>
    </w:pPr>
  </w:style>
  <w:style w:type="paragraph" w:customStyle="1" w:styleId="133">
    <w:name w:val="font7"/>
    <w:basedOn w:val="1"/>
    <w:qFormat/>
    <w:uiPriority w:val="0"/>
    <w:pPr>
      <w:widowControl/>
      <w:spacing w:before="100" w:beforeAutospacing="1" w:after="100" w:afterAutospacing="1"/>
      <w:jc w:val="left"/>
    </w:pPr>
    <w:rPr>
      <w:rFonts w:hint="eastAsia" w:ascii="幼圆" w:hAnsi="宋体" w:eastAsia="幼圆"/>
      <w:kern w:val="0"/>
      <w:sz w:val="32"/>
      <w:szCs w:val="32"/>
    </w:rPr>
  </w:style>
  <w:style w:type="paragraph" w:customStyle="1" w:styleId="134">
    <w:name w:val="大标题"/>
    <w:qFormat/>
    <w:uiPriority w:val="0"/>
    <w:pPr>
      <w:tabs>
        <w:tab w:val="left" w:pos="1134"/>
      </w:tabs>
      <w:snapToGrid w:val="0"/>
      <w:spacing w:before="240" w:after="240" w:line="288" w:lineRule="auto"/>
    </w:pPr>
    <w:rPr>
      <w:rFonts w:ascii="黑体" w:hAnsi="Times New Roman" w:eastAsia="黑体" w:cs="Times New Roman"/>
      <w:sz w:val="24"/>
      <w:lang w:val="en-US" w:eastAsia="zh-CN" w:bidi="ar-SA"/>
    </w:rPr>
  </w:style>
  <w:style w:type="paragraph" w:customStyle="1" w:styleId="135">
    <w:name w:val="flName"/>
    <w:basedOn w:val="136"/>
    <w:qFormat/>
    <w:uiPriority w:val="0"/>
    <w:pPr>
      <w:spacing w:before="0" w:line="113" w:lineRule="atLeast"/>
    </w:pPr>
  </w:style>
  <w:style w:type="paragraph" w:customStyle="1" w:styleId="136">
    <w:name w:val="flNote"/>
    <w:basedOn w:val="1"/>
    <w:qFormat/>
    <w:uiPriority w:val="0"/>
    <w:pPr>
      <w:adjustRightInd w:val="0"/>
      <w:spacing w:before="567" w:line="360" w:lineRule="atLeast"/>
      <w:jc w:val="center"/>
    </w:pPr>
    <w:rPr>
      <w:rFonts w:eastAsia="黑体"/>
      <w:b/>
      <w:kern w:val="0"/>
      <w:sz w:val="24"/>
    </w:rPr>
  </w:style>
  <w:style w:type="paragraph" w:customStyle="1" w:styleId="137">
    <w:name w:val="flType"/>
    <w:basedOn w:val="135"/>
    <w:qFormat/>
    <w:uiPriority w:val="0"/>
    <w:pPr>
      <w:spacing w:after="284"/>
    </w:pPr>
    <w:rPr>
      <w:rFonts w:eastAsia="宋体"/>
      <w:b w:val="0"/>
    </w:rPr>
  </w:style>
  <w:style w:type="paragraph" w:customStyle="1" w:styleId="138">
    <w:name w:val="_Style 49"/>
    <w:basedOn w:val="1"/>
    <w:qFormat/>
    <w:uiPriority w:val="0"/>
    <w:pPr>
      <w:spacing w:beforeLines="50" w:afterLines="50"/>
    </w:pPr>
    <w:rPr>
      <w:szCs w:val="24"/>
    </w:rPr>
  </w:style>
  <w:style w:type="paragraph" w:customStyle="1" w:styleId="139">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eastAsia" w:ascii="幼圆" w:hAnsi="宋体" w:eastAsia="幼圆"/>
      <w:kern w:val="0"/>
      <w:sz w:val="32"/>
      <w:szCs w:val="32"/>
    </w:rPr>
  </w:style>
  <w:style w:type="paragraph" w:customStyle="1" w:styleId="140">
    <w:name w:val="D&amp;L"/>
    <w:basedOn w:val="40"/>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141">
    <w:name w:val="样式 标题 3标题 3 Char Char标题 3 Char Char Char Char + 黑体 段前: 12 磅 ..."/>
    <w:basedOn w:val="4"/>
    <w:qFormat/>
    <w:uiPriority w:val="0"/>
    <w:pPr>
      <w:spacing w:before="240" w:after="120" w:line="240" w:lineRule="auto"/>
      <w:jc w:val="left"/>
    </w:pPr>
    <w:rPr>
      <w:rFonts w:ascii="黑体" w:hAnsi="Arial" w:eastAsia="黑体" w:cs="宋体"/>
      <w:b w:val="0"/>
      <w:kern w:val="0"/>
      <w:sz w:val="28"/>
      <w:szCs w:val="20"/>
    </w:rPr>
  </w:style>
  <w:style w:type="paragraph" w:customStyle="1" w:styleId="142">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43">
    <w:name w:val="样式3"/>
    <w:basedOn w:val="1"/>
    <w:qFormat/>
    <w:uiPriority w:val="0"/>
    <w:pPr>
      <w:tabs>
        <w:tab w:val="left" w:pos="1180"/>
      </w:tabs>
      <w:autoSpaceDE w:val="0"/>
      <w:autoSpaceDN w:val="0"/>
      <w:adjustRightInd w:val="0"/>
      <w:ind w:left="491" w:leftChars="-24" w:hanging="515" w:hangingChars="515"/>
      <w:jc w:val="left"/>
    </w:pPr>
    <w:rPr>
      <w:color w:val="000000"/>
      <w:kern w:val="0"/>
      <w:sz w:val="24"/>
    </w:rPr>
  </w:style>
  <w:style w:type="paragraph" w:customStyle="1" w:styleId="144">
    <w:name w:val="Char Char Char Char"/>
    <w:basedOn w:val="1"/>
    <w:qFormat/>
    <w:uiPriority w:val="0"/>
    <w:rPr>
      <w:sz w:val="30"/>
      <w:szCs w:val="24"/>
    </w:rPr>
  </w:style>
  <w:style w:type="paragraph" w:customStyle="1" w:styleId="145">
    <w:name w:val="_Style 3"/>
    <w:basedOn w:val="1"/>
    <w:qFormat/>
    <w:uiPriority w:val="34"/>
    <w:pPr>
      <w:ind w:firstLine="420" w:firstLineChars="200"/>
    </w:pPr>
    <w:rPr>
      <w:rFonts w:ascii="Calibri" w:hAnsi="Calibri"/>
      <w:szCs w:val="22"/>
    </w:rPr>
  </w:style>
  <w:style w:type="paragraph" w:customStyle="1" w:styleId="146">
    <w:name w:val="样式4"/>
    <w:basedOn w:val="57"/>
    <w:qFormat/>
    <w:uiPriority w:val="0"/>
    <w:pPr>
      <w:tabs>
        <w:tab w:val="clear" w:pos="425"/>
      </w:tabs>
      <w:spacing w:line="360" w:lineRule="auto"/>
      <w:ind w:left="0" w:firstLine="0"/>
    </w:pPr>
    <w:rPr>
      <w:sz w:val="36"/>
      <w:szCs w:val="36"/>
    </w:rPr>
  </w:style>
  <w:style w:type="paragraph" w:customStyle="1" w:styleId="147">
    <w:name w:val="kd"/>
    <w:basedOn w:val="148"/>
    <w:qFormat/>
    <w:uiPriority w:val="0"/>
    <w:pPr>
      <w:ind w:left="720" w:hanging="720"/>
    </w:pPr>
    <w:rPr>
      <w:sz w:val="28"/>
    </w:rPr>
  </w:style>
  <w:style w:type="paragraph" w:customStyle="1" w:styleId="148">
    <w:name w:val="正文1"/>
    <w:qFormat/>
    <w:uiPriority w:val="0"/>
    <w:pPr>
      <w:widowControl w:val="0"/>
      <w:adjustRightInd w:val="0"/>
      <w:spacing w:line="312" w:lineRule="atLeast"/>
      <w:jc w:val="both"/>
    </w:pPr>
    <w:rPr>
      <w:rFonts w:ascii="宋体" w:hAnsi="Times New Roman" w:eastAsia="宋体" w:cs="Times New Roman"/>
      <w:sz w:val="34"/>
      <w:lang w:val="en-US" w:eastAsia="zh-CN" w:bidi="ar-SA"/>
    </w:rPr>
  </w:style>
  <w:style w:type="paragraph" w:customStyle="1" w:styleId="149">
    <w:name w:val="Char Char Char1 Char Char Char"/>
    <w:basedOn w:val="1"/>
    <w:qFormat/>
    <w:uiPriority w:val="0"/>
  </w:style>
  <w:style w:type="paragraph" w:customStyle="1" w:styleId="150">
    <w:name w:val="样式 宋体 小四 首行缩进:  0.93 厘米 段前: 11.15 磅 段后: 11.15 磅1"/>
    <w:basedOn w:val="1"/>
    <w:qFormat/>
    <w:uiPriority w:val="0"/>
    <w:pPr>
      <w:adjustRightInd w:val="0"/>
      <w:snapToGrid w:val="0"/>
      <w:ind w:left="200" w:leftChars="200"/>
    </w:pPr>
    <w:rPr>
      <w:rFonts w:ascii="宋体" w:cs="宋体"/>
      <w:sz w:val="24"/>
    </w:rPr>
  </w:style>
  <w:style w:type="paragraph" w:customStyle="1" w:styleId="151">
    <w:name w:val="样式 样式 样式 标题 3 + 四号 段前: 0 磅 段后: 0 磅 行距: 固定值 24 磅 + Times New Roma..."/>
    <w:basedOn w:val="1"/>
    <w:qFormat/>
    <w:uiPriority w:val="0"/>
    <w:pPr>
      <w:autoSpaceDE w:val="0"/>
      <w:autoSpaceDN w:val="0"/>
      <w:adjustRightInd w:val="0"/>
      <w:spacing w:line="480" w:lineRule="exact"/>
      <w:ind w:firstLine="200" w:firstLineChars="200"/>
    </w:pPr>
    <w:rPr>
      <w:rFonts w:cs="宋体"/>
      <w:color w:val="000000"/>
      <w:sz w:val="28"/>
    </w:rPr>
  </w:style>
  <w:style w:type="paragraph" w:customStyle="1" w:styleId="152">
    <w:name w:val="默认段落字体 Para Char"/>
    <w:basedOn w:val="1"/>
    <w:next w:val="1"/>
    <w:qFormat/>
    <w:uiPriority w:val="0"/>
    <w:rPr>
      <w:szCs w:val="24"/>
    </w:rPr>
  </w:style>
  <w:style w:type="paragraph" w:customStyle="1" w:styleId="153">
    <w:name w:val="Char1 Char Char Char Char Char Char2 Char Char Char Char Char Char Char"/>
    <w:basedOn w:val="1"/>
    <w:qFormat/>
    <w:uiPriority w:val="0"/>
    <w:pPr>
      <w:ind w:firstLine="360" w:firstLineChars="150"/>
    </w:pPr>
    <w:rPr>
      <w:rFonts w:ascii="Tahoma" w:hAnsi="Tahoma"/>
      <w:sz w:val="24"/>
    </w:rPr>
  </w:style>
  <w:style w:type="paragraph" w:customStyle="1" w:styleId="154">
    <w:name w:val="专用"/>
    <w:basedOn w:val="1"/>
    <w:qFormat/>
    <w:uiPriority w:val="0"/>
    <w:pPr>
      <w:spacing w:afterLines="100"/>
      <w:ind w:left="838" w:hanging="838" w:hangingChars="262"/>
    </w:pPr>
    <w:rPr>
      <w:rFonts w:ascii="宋体"/>
      <w:b/>
      <w:color w:val="000000"/>
      <w:sz w:val="32"/>
    </w:rPr>
  </w:style>
  <w:style w:type="paragraph" w:styleId="155">
    <w:name w:val="List Paragraph"/>
    <w:basedOn w:val="1"/>
    <w:link w:val="263"/>
    <w:qFormat/>
    <w:uiPriority w:val="34"/>
    <w:pPr>
      <w:ind w:firstLine="420" w:firstLineChars="200"/>
    </w:pPr>
    <w:rPr>
      <w:rFonts w:ascii="Calibri" w:hAnsi="Calibri"/>
      <w:szCs w:val="22"/>
    </w:rPr>
  </w:style>
  <w:style w:type="paragraph" w:customStyle="1" w:styleId="156">
    <w:name w:val="样式9"/>
    <w:basedOn w:val="143"/>
    <w:qFormat/>
    <w:uiPriority w:val="0"/>
    <w:pPr>
      <w:tabs>
        <w:tab w:val="clear" w:pos="1180"/>
      </w:tabs>
      <w:autoSpaceDE/>
      <w:autoSpaceDN/>
      <w:spacing w:line="480" w:lineRule="exact"/>
      <w:ind w:left="0" w:leftChars="0" w:firstLine="480" w:firstLineChars="200"/>
    </w:pPr>
    <w:rPr>
      <w:rFonts w:ascii="宋体" w:hAnsi="宋体"/>
      <w:color w:val="auto"/>
      <w:szCs w:val="24"/>
    </w:rPr>
  </w:style>
  <w:style w:type="paragraph" w:customStyle="1" w:styleId="157">
    <w:name w:val="xl31"/>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158">
    <w:name w:val="_Style 0"/>
    <w:qFormat/>
    <w:uiPriority w:val="1"/>
    <w:pPr>
      <w:widowControl w:val="0"/>
      <w:jc w:val="both"/>
    </w:pPr>
    <w:rPr>
      <w:rFonts w:ascii="Calibri" w:hAnsi="Calibri" w:eastAsia="宋体" w:cs="Times New Roman"/>
      <w:kern w:val="2"/>
      <w:sz w:val="21"/>
      <w:szCs w:val="22"/>
      <w:lang w:val="en-US" w:eastAsia="zh-CN" w:bidi="ar-SA"/>
    </w:rPr>
  </w:style>
  <w:style w:type="paragraph" w:customStyle="1" w:styleId="159">
    <w:name w:val="表格"/>
    <w:basedOn w:val="1"/>
    <w:qFormat/>
    <w:uiPriority w:val="0"/>
    <w:pPr>
      <w:widowControl/>
      <w:snapToGrid w:val="0"/>
      <w:spacing w:before="60" w:after="60"/>
      <w:jc w:val="left"/>
    </w:pPr>
    <w:rPr>
      <w:rFonts w:ascii="宋体"/>
      <w:sz w:val="20"/>
    </w:rPr>
  </w:style>
  <w:style w:type="paragraph" w:customStyle="1" w:styleId="160">
    <w:name w:val="样式12"/>
    <w:basedOn w:val="1"/>
    <w:qFormat/>
    <w:uiPriority w:val="0"/>
    <w:pPr>
      <w:adjustRightInd w:val="0"/>
      <w:spacing w:line="480" w:lineRule="exact"/>
      <w:ind w:left="600" w:leftChars="250" w:firstLine="480" w:firstLineChars="200"/>
      <w:jc w:val="left"/>
    </w:pPr>
    <w:rPr>
      <w:rFonts w:ascii="宋体" w:hAnsi="宋体"/>
      <w:kern w:val="0"/>
      <w:sz w:val="24"/>
      <w:szCs w:val="24"/>
    </w:rPr>
  </w:style>
  <w:style w:type="paragraph" w:customStyle="1" w:styleId="161">
    <w:name w:val="样式 标题 3列表编号31.1.1 + 四号 加粗 行距: 1.5 倍行距"/>
    <w:basedOn w:val="4"/>
    <w:qFormat/>
    <w:uiPriority w:val="0"/>
    <w:pPr>
      <w:tabs>
        <w:tab w:val="left" w:pos="0"/>
      </w:tabs>
      <w:adjustRightInd w:val="0"/>
      <w:spacing w:before="0" w:after="0" w:line="360" w:lineRule="auto"/>
      <w:jc w:val="left"/>
    </w:pPr>
    <w:rPr>
      <w:rFonts w:ascii="Times New Roman" w:cs="宋体"/>
      <w:kern w:val="0"/>
      <w:sz w:val="28"/>
      <w:szCs w:val="20"/>
    </w:rPr>
  </w:style>
  <w:style w:type="paragraph" w:customStyle="1" w:styleId="162">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32"/>
      <w:szCs w:val="32"/>
    </w:rPr>
  </w:style>
  <w:style w:type="paragraph" w:customStyle="1" w:styleId="163">
    <w:name w:val="font6"/>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64">
    <w:name w:val="Char Char Char Char Char Char"/>
    <w:basedOn w:val="1"/>
    <w:qFormat/>
    <w:uiPriority w:val="0"/>
    <w:pPr>
      <w:widowControl/>
      <w:spacing w:after="160" w:line="240" w:lineRule="exact"/>
      <w:jc w:val="left"/>
    </w:pPr>
    <w:rPr>
      <w:kern w:val="0"/>
      <w:sz w:val="24"/>
    </w:rPr>
  </w:style>
  <w:style w:type="paragraph" w:customStyle="1" w:styleId="165">
    <w:name w:val="样式2"/>
    <w:basedOn w:val="18"/>
    <w:qFormat/>
    <w:uiPriority w:val="0"/>
    <w:pPr>
      <w:adjustRightInd w:val="0"/>
      <w:spacing w:after="0" w:line="360" w:lineRule="auto"/>
      <w:ind w:left="491" w:leftChars="491" w:firstLine="0"/>
      <w:jc w:val="left"/>
    </w:pPr>
    <w:rPr>
      <w:rFonts w:ascii="Times New Roman" w:hAnsi="Times New Roman" w:cs="Times New Roman"/>
      <w:kern w:val="0"/>
      <w:szCs w:val="20"/>
    </w:rPr>
  </w:style>
  <w:style w:type="paragraph" w:customStyle="1" w:styleId="166">
    <w:name w:val="Char"/>
    <w:basedOn w:val="1"/>
    <w:qFormat/>
    <w:uiPriority w:val="0"/>
    <w:rPr>
      <w:rFonts w:ascii="Tahoma" w:hAnsi="Tahoma"/>
      <w:sz w:val="24"/>
    </w:rPr>
  </w:style>
  <w:style w:type="paragraph" w:customStyle="1" w:styleId="167">
    <w:name w:val="样式 样式 标题 4 + (符号) 宋体 行距: 固定值 22 磅 + 黑色"/>
    <w:basedOn w:val="1"/>
    <w:qFormat/>
    <w:uiPriority w:val="0"/>
    <w:pPr>
      <w:tabs>
        <w:tab w:val="left" w:pos="2400"/>
      </w:tabs>
      <w:adjustRightInd w:val="0"/>
      <w:spacing w:before="50" w:after="50" w:line="440" w:lineRule="exact"/>
      <w:ind w:left="-284" w:hanging="420"/>
      <w:jc w:val="left"/>
      <w:outlineLvl w:val="3"/>
    </w:pPr>
    <w:rPr>
      <w:rFonts w:ascii="宋体" w:hAnsi="宋体" w:cs="宋体"/>
      <w:color w:val="000000"/>
      <w:kern w:val="0"/>
      <w:sz w:val="24"/>
    </w:rPr>
  </w:style>
  <w:style w:type="paragraph" w:customStyle="1" w:styleId="168">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32"/>
      <w:szCs w:val="32"/>
    </w:rPr>
  </w:style>
  <w:style w:type="paragraph" w:customStyle="1" w:styleId="169">
    <w:name w:val="五级"/>
    <w:basedOn w:val="3"/>
    <w:qFormat/>
    <w:uiPriority w:val="0"/>
    <w:pPr>
      <w:keepNext w:val="0"/>
      <w:keepLines w:val="0"/>
      <w:tabs>
        <w:tab w:val="left" w:pos="709"/>
        <w:tab w:val="left" w:pos="851"/>
      </w:tabs>
      <w:spacing w:before="0" w:after="0" w:line="360" w:lineRule="auto"/>
      <w:ind w:left="709" w:hanging="709"/>
      <w:jc w:val="both"/>
    </w:pPr>
    <w:rPr>
      <w:rFonts w:ascii="宋体" w:hAnsi="宋体" w:eastAsia="宋体"/>
      <w:b w:val="0"/>
      <w:sz w:val="24"/>
    </w:rPr>
  </w:style>
  <w:style w:type="paragraph" w:customStyle="1" w:styleId="170">
    <w:name w:val="样式胡"/>
    <w:basedOn w:val="1"/>
    <w:qFormat/>
    <w:uiPriority w:val="0"/>
    <w:pPr>
      <w:tabs>
        <w:tab w:val="left" w:pos="3300"/>
      </w:tabs>
      <w:ind w:left="3300" w:hanging="420"/>
    </w:pPr>
    <w:rPr>
      <w:rFonts w:ascii="黑体" w:hAnsi="Arial" w:eastAsia="黑体"/>
      <w:szCs w:val="24"/>
    </w:rPr>
  </w:style>
  <w:style w:type="paragraph" w:customStyle="1" w:styleId="171">
    <w:name w:val="Char Char Char"/>
    <w:basedOn w:val="1"/>
    <w:qFormat/>
    <w:uiPriority w:val="0"/>
    <w:rPr>
      <w:rFonts w:ascii="Tahoma" w:hAnsi="Tahoma"/>
      <w:sz w:val="24"/>
    </w:rPr>
  </w:style>
  <w:style w:type="paragraph" w:customStyle="1" w:styleId="172">
    <w:name w:val="font9"/>
    <w:basedOn w:val="1"/>
    <w:qFormat/>
    <w:uiPriority w:val="0"/>
    <w:pPr>
      <w:widowControl/>
      <w:spacing w:before="100" w:beforeAutospacing="1" w:after="100" w:afterAutospacing="1"/>
      <w:jc w:val="left"/>
    </w:pPr>
    <w:rPr>
      <w:rFonts w:hint="eastAsia" w:ascii="幼圆" w:hAnsi="宋体" w:eastAsia="幼圆"/>
      <w:kern w:val="0"/>
      <w:sz w:val="32"/>
      <w:szCs w:val="32"/>
    </w:rPr>
  </w:style>
  <w:style w:type="paragraph" w:customStyle="1" w:styleId="173">
    <w:name w:val="样式18"/>
    <w:basedOn w:val="33"/>
    <w:qFormat/>
    <w:uiPriority w:val="0"/>
    <w:pPr>
      <w:spacing w:line="480" w:lineRule="exact"/>
      <w:ind w:firstLine="480" w:firstLineChars="200"/>
    </w:pPr>
    <w:rPr>
      <w:rFonts w:hAnsi="宋体"/>
      <w:sz w:val="24"/>
      <w:szCs w:val="24"/>
    </w:rPr>
  </w:style>
  <w:style w:type="paragraph" w:customStyle="1" w:styleId="174">
    <w:name w:val="表格文字"/>
    <w:basedOn w:val="1"/>
    <w:qFormat/>
    <w:uiPriority w:val="0"/>
    <w:pPr>
      <w:snapToGrid w:val="0"/>
      <w:ind w:firstLine="200" w:firstLineChars="200"/>
      <w:jc w:val="center"/>
    </w:pPr>
    <w:rPr>
      <w:rFonts w:cs="宋体"/>
    </w:rPr>
  </w:style>
  <w:style w:type="paragraph" w:customStyle="1" w:styleId="175">
    <w:name w:val="standdate"/>
    <w:basedOn w:val="39"/>
    <w:qFormat/>
    <w:uiPriority w:val="0"/>
    <w:pPr>
      <w:pBdr>
        <w:top w:val="single" w:color="auto" w:sz="6" w:space="7"/>
      </w:pBdr>
      <w:adjustRightInd w:val="0"/>
      <w:snapToGrid/>
      <w:spacing w:line="240" w:lineRule="atLeast"/>
      <w:jc w:val="center"/>
    </w:pPr>
    <w:rPr>
      <w:rFonts w:ascii="黑体" w:eastAsia="黑体"/>
      <w:b/>
      <w:spacing w:val="-4"/>
      <w:kern w:val="0"/>
      <w:sz w:val="21"/>
      <w:szCs w:val="20"/>
    </w:rPr>
  </w:style>
  <w:style w:type="paragraph" w:customStyle="1" w:styleId="176">
    <w:name w:val="Char Char18"/>
    <w:basedOn w:val="1"/>
    <w:qFormat/>
    <w:uiPriority w:val="0"/>
    <w:pPr>
      <w:widowControl/>
      <w:spacing w:after="160" w:line="240" w:lineRule="exact"/>
      <w:jc w:val="left"/>
    </w:pPr>
    <w:rPr>
      <w:kern w:val="0"/>
      <w:sz w:val="24"/>
    </w:rPr>
  </w:style>
  <w:style w:type="paragraph" w:customStyle="1" w:styleId="177">
    <w:name w:val="Char Char Char Char Char Char Char"/>
    <w:basedOn w:val="1"/>
    <w:qFormat/>
    <w:uiPriority w:val="0"/>
    <w:pPr>
      <w:widowControl/>
      <w:spacing w:after="160" w:line="240" w:lineRule="exact"/>
      <w:jc w:val="left"/>
    </w:pPr>
    <w:rPr>
      <w:rFonts w:ascii="Tahoma" w:hAnsi="Tahoma" w:cs="Tahoma"/>
      <w:kern w:val="0"/>
      <w:sz w:val="20"/>
      <w:lang w:eastAsia="en-US"/>
    </w:rPr>
  </w:style>
  <w:style w:type="paragraph" w:customStyle="1" w:styleId="178">
    <w:name w:val="_Style 8"/>
    <w:basedOn w:val="1"/>
    <w:qFormat/>
    <w:uiPriority w:val="0"/>
  </w:style>
  <w:style w:type="paragraph" w:customStyle="1" w:styleId="179">
    <w:name w:val="合同书"/>
    <w:basedOn w:val="1"/>
    <w:qFormat/>
    <w:uiPriority w:val="0"/>
    <w:pPr>
      <w:jc w:val="center"/>
    </w:pPr>
    <w:rPr>
      <w:rFonts w:ascii="宋体"/>
      <w:b/>
      <w:sz w:val="36"/>
    </w:rPr>
  </w:style>
  <w:style w:type="paragraph" w:customStyle="1" w:styleId="180">
    <w:name w:val="样式15"/>
    <w:basedOn w:val="1"/>
    <w:qFormat/>
    <w:uiPriority w:val="0"/>
    <w:pPr>
      <w:adjustRightInd w:val="0"/>
      <w:spacing w:beforeLines="20" w:line="360" w:lineRule="auto"/>
      <w:ind w:firstLine="715" w:firstLineChars="298"/>
      <w:jc w:val="left"/>
    </w:pPr>
    <w:rPr>
      <w:rFonts w:ascii="黑体" w:eastAsia="黑体"/>
      <w:kern w:val="0"/>
      <w:sz w:val="24"/>
      <w:szCs w:val="24"/>
    </w:rPr>
  </w:style>
  <w:style w:type="paragraph" w:customStyle="1" w:styleId="181">
    <w:name w:val="Char Char Char Char Char Char Char1 Char"/>
    <w:basedOn w:val="1"/>
    <w:qFormat/>
    <w:uiPriority w:val="0"/>
    <w:rPr>
      <w:rFonts w:ascii="Tahoma" w:hAnsi="Tahoma"/>
      <w:sz w:val="24"/>
    </w:rPr>
  </w:style>
  <w:style w:type="paragraph" w:customStyle="1" w:styleId="182">
    <w:name w:val="表内容"/>
    <w:basedOn w:val="84"/>
    <w:qFormat/>
    <w:uiPriority w:val="0"/>
    <w:pPr>
      <w:spacing w:afterLines="0"/>
      <w:ind w:firstLine="0" w:firstLineChars="0"/>
      <w:jc w:val="center"/>
    </w:pPr>
    <w:rPr>
      <w:sz w:val="21"/>
    </w:rPr>
  </w:style>
  <w:style w:type="paragraph" w:customStyle="1" w:styleId="183">
    <w:name w:val="纯文本1"/>
    <w:basedOn w:val="1"/>
    <w:qFormat/>
    <w:uiPriority w:val="0"/>
    <w:pPr>
      <w:adjustRightInd w:val="0"/>
      <w:spacing w:line="312" w:lineRule="atLeast"/>
    </w:pPr>
    <w:rPr>
      <w:rFonts w:ascii="宋体" w:hAnsi="Courier New"/>
      <w:kern w:val="0"/>
      <w:sz w:val="28"/>
    </w:rPr>
  </w:style>
  <w:style w:type="paragraph" w:customStyle="1" w:styleId="18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85">
    <w:name w:val="Body text 1"/>
    <w:basedOn w:val="126"/>
    <w:qFormat/>
    <w:uiPriority w:val="0"/>
    <w:pPr>
      <w:tabs>
        <w:tab w:val="left" w:pos="1134"/>
      </w:tabs>
      <w:ind w:hanging="1134"/>
    </w:pPr>
  </w:style>
  <w:style w:type="paragraph" w:customStyle="1" w:styleId="186">
    <w:name w:val="基本文字 Char"/>
    <w:basedOn w:val="1"/>
    <w:qFormat/>
    <w:uiPriority w:val="0"/>
    <w:pPr>
      <w:spacing w:before="156" w:line="400" w:lineRule="atLeast"/>
      <w:ind w:firstLine="540" w:firstLineChars="225"/>
    </w:pPr>
    <w:rPr>
      <w:sz w:val="24"/>
    </w:rPr>
  </w:style>
  <w:style w:type="paragraph" w:customStyle="1" w:styleId="187">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hint="eastAsia" w:ascii="幼圆" w:hAnsi="宋体" w:eastAsia="幼圆"/>
      <w:kern w:val="0"/>
      <w:sz w:val="32"/>
      <w:szCs w:val="32"/>
    </w:rPr>
  </w:style>
  <w:style w:type="paragraph" w:customStyle="1" w:styleId="188">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189">
    <w:name w:val="Subhead 1"/>
    <w:basedOn w:val="1"/>
    <w:qFormat/>
    <w:uiPriority w:val="0"/>
    <w:pPr>
      <w:keepNext/>
      <w:pageBreakBefore/>
      <w:widowControl/>
      <w:tabs>
        <w:tab w:val="left" w:pos="1134"/>
        <w:tab w:val="left" w:pos="2552"/>
      </w:tabs>
      <w:autoSpaceDE w:val="0"/>
      <w:autoSpaceDN w:val="0"/>
      <w:adjustRightInd w:val="0"/>
      <w:spacing w:before="510" w:after="400" w:line="420" w:lineRule="atLeast"/>
      <w:ind w:left="1134" w:hanging="1134"/>
      <w:jc w:val="left"/>
    </w:pPr>
    <w:rPr>
      <w:rFonts w:ascii="Arial" w:hAnsi="Arial" w:eastAsia="黑体"/>
      <w:b/>
      <w:kern w:val="0"/>
      <w:sz w:val="32"/>
    </w:rPr>
  </w:style>
  <w:style w:type="paragraph" w:customStyle="1" w:styleId="190">
    <w:name w:val="条目"/>
    <w:basedOn w:val="57"/>
    <w:next w:val="1"/>
    <w:qFormat/>
    <w:uiPriority w:val="0"/>
    <w:pPr>
      <w:tabs>
        <w:tab w:val="left" w:pos="1980"/>
        <w:tab w:val="clear" w:pos="425"/>
      </w:tabs>
      <w:spacing w:before="280" w:after="0" w:line="160" w:lineRule="exact"/>
      <w:ind w:left="1980" w:hanging="720"/>
      <w:jc w:val="left"/>
    </w:pPr>
    <w:rPr>
      <w:b/>
      <w:bCs w:val="0"/>
      <w:spacing w:val="40"/>
      <w:kern w:val="40"/>
      <w:sz w:val="24"/>
      <w:szCs w:val="20"/>
    </w:rPr>
  </w:style>
  <w:style w:type="paragraph" w:customStyle="1" w:styleId="191">
    <w:name w:val="Char Char3 Char Char Char Char"/>
    <w:basedOn w:val="1"/>
    <w:qFormat/>
    <w:uiPriority w:val="0"/>
    <w:rPr>
      <w:rFonts w:ascii="Tahoma" w:hAnsi="Tahoma"/>
      <w:sz w:val="24"/>
    </w:rPr>
  </w:style>
  <w:style w:type="character" w:customStyle="1" w:styleId="192">
    <w:name w:val="font21"/>
    <w:qFormat/>
    <w:uiPriority w:val="0"/>
    <w:rPr>
      <w:rFonts w:ascii="楷体_GB2312" w:eastAsia="楷体_GB2312" w:cs="楷体_GB2312"/>
      <w:color w:val="000000"/>
      <w:sz w:val="21"/>
      <w:szCs w:val="21"/>
      <w:u w:val="none"/>
    </w:rPr>
  </w:style>
  <w:style w:type="character" w:customStyle="1" w:styleId="193">
    <w:name w:val="标题 1 Char"/>
    <w:qFormat/>
    <w:uiPriority w:val="0"/>
    <w:rPr>
      <w:rFonts w:eastAsia="宋体"/>
      <w:b/>
      <w:bCs/>
      <w:kern w:val="44"/>
      <w:sz w:val="30"/>
      <w:szCs w:val="44"/>
      <w:lang w:val="en-US" w:eastAsia="zh-CN" w:bidi="ar-SA"/>
    </w:rPr>
  </w:style>
  <w:style w:type="character" w:customStyle="1" w:styleId="194">
    <w:name w:val="标题 2 Char"/>
    <w:qFormat/>
    <w:uiPriority w:val="0"/>
    <w:rPr>
      <w:rFonts w:ascii="Arial" w:hAnsi="Arial" w:eastAsia="黑体"/>
      <w:b/>
      <w:bCs/>
      <w:kern w:val="2"/>
      <w:sz w:val="32"/>
      <w:szCs w:val="32"/>
      <w:lang w:val="en-US" w:eastAsia="zh-CN" w:bidi="ar-SA"/>
    </w:rPr>
  </w:style>
  <w:style w:type="character" w:customStyle="1" w:styleId="195">
    <w:name w:val="标题 3 Char"/>
    <w:qFormat/>
    <w:uiPriority w:val="0"/>
    <w:rPr>
      <w:rFonts w:ascii="宋体" w:eastAsia="宋体"/>
      <w:b/>
      <w:bCs/>
      <w:kern w:val="2"/>
      <w:sz w:val="32"/>
      <w:szCs w:val="32"/>
      <w:lang w:val="en-US" w:eastAsia="zh-CN" w:bidi="ar-SA"/>
    </w:rPr>
  </w:style>
  <w:style w:type="character" w:customStyle="1" w:styleId="196">
    <w:name w:val="标题 4 Char"/>
    <w:qFormat/>
    <w:uiPriority w:val="0"/>
    <w:rPr>
      <w:rFonts w:ascii="Arial" w:hAnsi="Arial" w:eastAsia="黑体"/>
      <w:b/>
      <w:bCs/>
      <w:kern w:val="2"/>
      <w:sz w:val="28"/>
      <w:szCs w:val="28"/>
      <w:lang w:val="en-US" w:eastAsia="zh-CN" w:bidi="ar-SA"/>
    </w:rPr>
  </w:style>
  <w:style w:type="character" w:customStyle="1" w:styleId="197">
    <w:name w:val="标题 5 Char"/>
    <w:qFormat/>
    <w:uiPriority w:val="0"/>
    <w:rPr>
      <w:rFonts w:ascii="宋体" w:hAnsi="Arial" w:eastAsia="宋体"/>
      <w:bCs/>
      <w:kern w:val="2"/>
      <w:sz w:val="28"/>
      <w:lang w:val="en-US" w:eastAsia="zh-CN" w:bidi="ar-SA"/>
    </w:rPr>
  </w:style>
  <w:style w:type="character" w:customStyle="1" w:styleId="198">
    <w:name w:val="标题 6 Char"/>
    <w:qFormat/>
    <w:uiPriority w:val="0"/>
    <w:rPr>
      <w:rFonts w:ascii="宋体" w:hAnsi="宋体" w:eastAsia="宋体"/>
      <w:sz w:val="28"/>
      <w:lang w:val="en-US" w:eastAsia="zh-CN" w:bidi="ar-SA"/>
    </w:rPr>
  </w:style>
  <w:style w:type="character" w:customStyle="1" w:styleId="199">
    <w:name w:val="标题 7 Char"/>
    <w:qFormat/>
    <w:uiPriority w:val="0"/>
    <w:rPr>
      <w:rFonts w:ascii="Arial" w:hAnsi="Arial" w:eastAsia="仿宋_GB2312" w:cs="Arial"/>
      <w:b/>
      <w:bCs/>
      <w:spacing w:val="-4"/>
      <w:kern w:val="2"/>
      <w:sz w:val="24"/>
      <w:szCs w:val="24"/>
      <w:lang w:val="en-US" w:eastAsia="zh-CN" w:bidi="ar-SA"/>
    </w:rPr>
  </w:style>
  <w:style w:type="character" w:customStyle="1" w:styleId="200">
    <w:name w:val="标题 8 Char"/>
    <w:qFormat/>
    <w:uiPriority w:val="0"/>
    <w:rPr>
      <w:rFonts w:eastAsia="宋体"/>
      <w:sz w:val="24"/>
      <w:lang w:val="en-US" w:eastAsia="zh-CN" w:bidi="ar-SA"/>
    </w:rPr>
  </w:style>
  <w:style w:type="character" w:customStyle="1" w:styleId="201">
    <w:name w:val="标题 9 Char"/>
    <w:qFormat/>
    <w:uiPriority w:val="0"/>
    <w:rPr>
      <w:rFonts w:eastAsia="宋体"/>
      <w:sz w:val="24"/>
      <w:lang w:val="en-US" w:eastAsia="zh-CN" w:bidi="ar-SA"/>
    </w:rPr>
  </w:style>
  <w:style w:type="character" w:customStyle="1" w:styleId="202">
    <w:name w:val="页眉 Char"/>
    <w:qFormat/>
    <w:uiPriority w:val="0"/>
    <w:rPr>
      <w:rFonts w:eastAsia="宋体"/>
      <w:kern w:val="2"/>
      <w:sz w:val="18"/>
      <w:szCs w:val="18"/>
      <w:lang w:val="en-US" w:eastAsia="zh-CN" w:bidi="ar-SA"/>
    </w:rPr>
  </w:style>
  <w:style w:type="character" w:customStyle="1" w:styleId="203">
    <w:name w:val="页脚 Char"/>
    <w:qFormat/>
    <w:uiPriority w:val="0"/>
    <w:rPr>
      <w:rFonts w:eastAsia="宋体"/>
      <w:kern w:val="2"/>
      <w:sz w:val="18"/>
      <w:szCs w:val="18"/>
      <w:lang w:val="en-US" w:eastAsia="zh-CN" w:bidi="ar-SA"/>
    </w:rPr>
  </w:style>
  <w:style w:type="character" w:customStyle="1" w:styleId="204">
    <w:name w:val="正文文本缩进 Char"/>
    <w:qFormat/>
    <w:uiPriority w:val="0"/>
    <w:rPr>
      <w:rFonts w:ascii="楷体_GB2312" w:eastAsia="楷体_GB2312"/>
      <w:kern w:val="2"/>
      <w:sz w:val="32"/>
      <w:lang w:val="en-US" w:eastAsia="zh-CN" w:bidi="ar-SA"/>
    </w:rPr>
  </w:style>
  <w:style w:type="character" w:customStyle="1" w:styleId="205">
    <w:name w:val="正文文本缩进 2 Char"/>
    <w:qFormat/>
    <w:uiPriority w:val="0"/>
    <w:rPr>
      <w:rFonts w:ascii="Arial" w:hAnsi="Arial" w:eastAsia="仿宋_GB2312"/>
      <w:kern w:val="2"/>
      <w:sz w:val="32"/>
      <w:lang w:val="en-US" w:eastAsia="zh-CN" w:bidi="ar-SA"/>
    </w:rPr>
  </w:style>
  <w:style w:type="character" w:customStyle="1" w:styleId="206">
    <w:name w:val="纯文本 Char1"/>
    <w:qFormat/>
    <w:locked/>
    <w:uiPriority w:val="99"/>
    <w:rPr>
      <w:rFonts w:ascii="宋体" w:hAnsi="Courier New" w:eastAsia="宋体"/>
      <w:kern w:val="2"/>
      <w:sz w:val="21"/>
      <w:lang w:val="en-US" w:eastAsia="zh-CN" w:bidi="ar-SA"/>
    </w:rPr>
  </w:style>
  <w:style w:type="character" w:customStyle="1" w:styleId="207">
    <w:name w:val="正文文本缩进 3 Char"/>
    <w:qFormat/>
    <w:uiPriority w:val="0"/>
    <w:rPr>
      <w:rFonts w:ascii="仿宋_GB2312" w:hAnsi="Arial" w:eastAsia="仿宋_GB2312"/>
      <w:color w:val="000000"/>
      <w:kern w:val="2"/>
      <w:sz w:val="30"/>
      <w:lang w:val="en-US" w:eastAsia="zh-CN" w:bidi="ar-SA"/>
    </w:rPr>
  </w:style>
  <w:style w:type="character" w:customStyle="1" w:styleId="208">
    <w:name w:val="日期 Char"/>
    <w:qFormat/>
    <w:uiPriority w:val="0"/>
    <w:rPr>
      <w:rFonts w:eastAsia="宋体"/>
      <w:b/>
      <w:kern w:val="2"/>
      <w:sz w:val="28"/>
      <w:lang w:val="en-US" w:eastAsia="zh-CN" w:bidi="ar-SA"/>
    </w:rPr>
  </w:style>
  <w:style w:type="character" w:customStyle="1" w:styleId="209">
    <w:name w:val="正文文本 Char"/>
    <w:qFormat/>
    <w:uiPriority w:val="0"/>
    <w:rPr>
      <w:rFonts w:ascii="宋体" w:hAnsi="Arial" w:eastAsia="宋体"/>
      <w:kern w:val="2"/>
      <w:sz w:val="28"/>
      <w:lang w:val="en-US" w:eastAsia="zh-CN" w:bidi="ar-SA"/>
    </w:rPr>
  </w:style>
  <w:style w:type="character" w:customStyle="1" w:styleId="210">
    <w:name w:val="正文文本 2 Char"/>
    <w:qFormat/>
    <w:uiPriority w:val="0"/>
    <w:rPr>
      <w:rFonts w:ascii="仿宋_GB2312" w:eastAsia="仿宋_GB2312"/>
      <w:b/>
      <w:kern w:val="2"/>
      <w:sz w:val="24"/>
      <w:lang w:val="en-US" w:eastAsia="zh-CN" w:bidi="ar-SA"/>
    </w:rPr>
  </w:style>
  <w:style w:type="character" w:customStyle="1" w:styleId="211">
    <w:name w:val="文档结构图 Char"/>
    <w:qFormat/>
    <w:uiPriority w:val="0"/>
    <w:rPr>
      <w:rFonts w:eastAsia="宋体"/>
      <w:kern w:val="2"/>
      <w:sz w:val="21"/>
      <w:lang w:val="en-US" w:eastAsia="zh-CN" w:bidi="ar-SA"/>
    </w:rPr>
  </w:style>
  <w:style w:type="character" w:customStyle="1" w:styleId="212">
    <w:name w:val="正文文本 3 Char"/>
    <w:qFormat/>
    <w:uiPriority w:val="0"/>
    <w:rPr>
      <w:rFonts w:ascii="黑体" w:hAnsi="Arial" w:eastAsia="黑体"/>
      <w:b/>
      <w:kern w:val="2"/>
      <w:sz w:val="28"/>
      <w:lang w:val="en-US" w:eastAsia="zh-CN" w:bidi="ar-SA"/>
    </w:rPr>
  </w:style>
  <w:style w:type="character" w:customStyle="1" w:styleId="213">
    <w:name w:val="批注框文本 Char"/>
    <w:qFormat/>
    <w:uiPriority w:val="0"/>
    <w:rPr>
      <w:rFonts w:eastAsia="宋体"/>
      <w:kern w:val="2"/>
      <w:sz w:val="18"/>
      <w:szCs w:val="18"/>
      <w:lang w:val="en-US" w:eastAsia="zh-CN" w:bidi="ar-SA"/>
    </w:rPr>
  </w:style>
  <w:style w:type="character" w:customStyle="1" w:styleId="214">
    <w:name w:val="正文首行缩进 Char"/>
    <w:qFormat/>
    <w:uiPriority w:val="0"/>
    <w:rPr>
      <w:rFonts w:ascii="Arial" w:hAnsi="Arial" w:eastAsia="仿宋_GB2312" w:cs="Arial"/>
      <w:sz w:val="24"/>
      <w:szCs w:val="32"/>
      <w:lang w:val="en-US" w:eastAsia="zh-CN" w:bidi="ar-SA"/>
    </w:rPr>
  </w:style>
  <w:style w:type="character" w:customStyle="1" w:styleId="215">
    <w:name w:val="批注文字 Char1"/>
    <w:qFormat/>
    <w:uiPriority w:val="0"/>
    <w:rPr>
      <w:rFonts w:eastAsia="宋体"/>
      <w:kern w:val="2"/>
      <w:sz w:val="21"/>
      <w:lang w:val="en-US" w:eastAsia="zh-CN" w:bidi="ar-SA"/>
    </w:rPr>
  </w:style>
  <w:style w:type="character" w:customStyle="1" w:styleId="216">
    <w:name w:val="正文缩进 Char1"/>
    <w:qFormat/>
    <w:uiPriority w:val="0"/>
    <w:rPr>
      <w:rFonts w:ascii="Calibri" w:hAnsi="Calibri" w:eastAsia="宋体" w:cs="Plotter"/>
      <w:kern w:val="2"/>
      <w:sz w:val="24"/>
      <w:szCs w:val="24"/>
      <w:lang w:val="en-US" w:eastAsia="zh-CN" w:bidi="ar-SA"/>
    </w:rPr>
  </w:style>
  <w:style w:type="character" w:customStyle="1" w:styleId="217">
    <w:name w:val="标题 Char"/>
    <w:qFormat/>
    <w:uiPriority w:val="0"/>
    <w:rPr>
      <w:rFonts w:ascii="黑体" w:hAnsi="Arial" w:eastAsia="黑体" w:cs="Arial"/>
      <w:bCs/>
      <w:kern w:val="2"/>
      <w:sz w:val="32"/>
      <w:szCs w:val="32"/>
      <w:lang w:val="en-US" w:eastAsia="zh-CN" w:bidi="ar-SA"/>
    </w:rPr>
  </w:style>
  <w:style w:type="character" w:customStyle="1" w:styleId="218">
    <w:name w:val="副标题 Char"/>
    <w:qFormat/>
    <w:uiPriority w:val="0"/>
    <w:rPr>
      <w:rFonts w:ascii="Arial" w:hAnsi="Arial" w:eastAsia="宋体" w:cs="Arial"/>
      <w:b/>
      <w:bCs/>
      <w:kern w:val="28"/>
      <w:sz w:val="32"/>
      <w:szCs w:val="32"/>
      <w:lang w:val="en-US" w:eastAsia="zh-CN" w:bidi="ar-SA"/>
    </w:rPr>
  </w:style>
  <w:style w:type="character" w:customStyle="1" w:styleId="219">
    <w:name w:val="批注主题 Char"/>
    <w:qFormat/>
    <w:uiPriority w:val="0"/>
    <w:rPr>
      <w:rFonts w:eastAsia="宋体"/>
      <w:b/>
      <w:bCs/>
      <w:sz w:val="24"/>
      <w:lang w:val="en-US" w:eastAsia="zh-CN" w:bidi="ar-SA"/>
    </w:rPr>
  </w:style>
  <w:style w:type="character" w:customStyle="1" w:styleId="220">
    <w:name w:val="style111"/>
    <w:qFormat/>
    <w:uiPriority w:val="0"/>
    <w:rPr>
      <w:color w:val="333333"/>
      <w:sz w:val="18"/>
      <w:szCs w:val="18"/>
    </w:rPr>
  </w:style>
  <w:style w:type="character" w:customStyle="1" w:styleId="221">
    <w:name w:val="emtidy-6"/>
    <w:qFormat/>
    <w:uiPriority w:val="0"/>
  </w:style>
  <w:style w:type="character" w:customStyle="1" w:styleId="222">
    <w:name w:val="short_text1"/>
    <w:qFormat/>
    <w:uiPriority w:val="0"/>
    <w:rPr>
      <w:sz w:val="25"/>
      <w:szCs w:val="25"/>
    </w:rPr>
  </w:style>
  <w:style w:type="character" w:customStyle="1" w:styleId="223">
    <w:name w:val="apple-style-span"/>
    <w:qFormat/>
    <w:uiPriority w:val="0"/>
    <w:rPr>
      <w:rFonts w:cs="Times New Roman"/>
    </w:rPr>
  </w:style>
  <w:style w:type="character" w:customStyle="1" w:styleId="224">
    <w:name w:val="apple-tab-span"/>
    <w:qFormat/>
    <w:uiPriority w:val="0"/>
  </w:style>
  <w:style w:type="character" w:customStyle="1" w:styleId="225">
    <w:name w:val="style7"/>
    <w:qFormat/>
    <w:uiPriority w:val="0"/>
  </w:style>
  <w:style w:type="character" w:customStyle="1" w:styleId="226">
    <w:name w:val="param-name param-explain"/>
    <w:qFormat/>
    <w:uiPriority w:val="0"/>
  </w:style>
  <w:style w:type="character" w:customStyle="1" w:styleId="227">
    <w:name w:val="style11"/>
    <w:qFormat/>
    <w:uiPriority w:val="0"/>
    <w:rPr>
      <w:rFonts w:cs="Times New Roman"/>
      <w:color w:val="FF0000"/>
    </w:rPr>
  </w:style>
  <w:style w:type="character" w:customStyle="1" w:styleId="228">
    <w:name w:val="size12_241"/>
    <w:qFormat/>
    <w:uiPriority w:val="0"/>
    <w:rPr>
      <w:rFonts w:cs="Times New Roman"/>
      <w:color w:val="000000"/>
      <w:sz w:val="18"/>
      <w:szCs w:val="18"/>
    </w:rPr>
  </w:style>
  <w:style w:type="character" w:customStyle="1" w:styleId="229">
    <w:name w:val="medium_text1"/>
    <w:qFormat/>
    <w:uiPriority w:val="0"/>
    <w:rPr>
      <w:sz w:val="21"/>
      <w:szCs w:val="21"/>
    </w:rPr>
  </w:style>
  <w:style w:type="character" w:customStyle="1" w:styleId="230">
    <w:name w:val="A9"/>
    <w:qFormat/>
    <w:uiPriority w:val="0"/>
    <w:rPr>
      <w:rFonts w:ascii="Calibri" w:hAnsi="Calibri" w:cs="Calibri"/>
      <w:color w:val="211D1E"/>
      <w:sz w:val="7"/>
      <w:szCs w:val="7"/>
    </w:rPr>
  </w:style>
  <w:style w:type="character" w:customStyle="1" w:styleId="231">
    <w:name w:val="A4"/>
    <w:qFormat/>
    <w:uiPriority w:val="0"/>
    <w:rPr>
      <w:rFonts w:cs="Verdana"/>
      <w:color w:val="000000"/>
      <w:sz w:val="18"/>
      <w:szCs w:val="18"/>
    </w:rPr>
  </w:style>
  <w:style w:type="character" w:customStyle="1" w:styleId="232">
    <w:name w:val="fileinfo2"/>
    <w:qFormat/>
    <w:uiPriority w:val="0"/>
  </w:style>
  <w:style w:type="character" w:customStyle="1" w:styleId="233">
    <w:name w:val="param-name"/>
    <w:qFormat/>
    <w:uiPriority w:val="0"/>
  </w:style>
  <w:style w:type="character" w:customStyle="1" w:styleId="234">
    <w:name w:val="15"/>
    <w:qFormat/>
    <w:uiPriority w:val="0"/>
    <w:rPr>
      <w:rFonts w:hint="default" w:ascii="Times New Roman" w:hAnsi="Times New Roman" w:cs="Times New Roman"/>
      <w:b/>
      <w:bCs/>
    </w:rPr>
  </w:style>
  <w:style w:type="character" w:customStyle="1" w:styleId="235">
    <w:name w:val="apple-converted-space"/>
    <w:qFormat/>
    <w:uiPriority w:val="0"/>
  </w:style>
  <w:style w:type="character" w:customStyle="1" w:styleId="236">
    <w:name w:val="param-value"/>
    <w:qFormat/>
    <w:uiPriority w:val="0"/>
  </w:style>
  <w:style w:type="character" w:customStyle="1" w:styleId="237">
    <w:name w:val="style21"/>
    <w:qFormat/>
    <w:uiPriority w:val="0"/>
    <w:rPr>
      <w:color w:val="000000"/>
    </w:rPr>
  </w:style>
  <w:style w:type="character" w:customStyle="1" w:styleId="238">
    <w:name w:val="bodytextnarrow1"/>
    <w:qFormat/>
    <w:uiPriority w:val="0"/>
    <w:rPr>
      <w:rFonts w:hint="default" w:ascii="Arial" w:hAnsi="Arial" w:cs="Arial"/>
      <w:color w:val="606060"/>
      <w:sz w:val="22"/>
      <w:szCs w:val="22"/>
    </w:rPr>
  </w:style>
  <w:style w:type="character" w:customStyle="1" w:styleId="239">
    <w:name w:val="emtidy-4"/>
    <w:qFormat/>
    <w:uiPriority w:val="0"/>
  </w:style>
  <w:style w:type="character" w:customStyle="1" w:styleId="240">
    <w:name w:val="A8"/>
    <w:qFormat/>
    <w:uiPriority w:val="0"/>
    <w:rPr>
      <w:rFonts w:cs="Calibri"/>
      <w:color w:val="211D1E"/>
      <w:sz w:val="12"/>
      <w:szCs w:val="12"/>
    </w:rPr>
  </w:style>
  <w:style w:type="character" w:customStyle="1" w:styleId="241">
    <w:name w:val="emtidy-3"/>
    <w:qFormat/>
    <w:uiPriority w:val="0"/>
  </w:style>
  <w:style w:type="character" w:customStyle="1" w:styleId="242">
    <w:name w:val="标题 Char2"/>
    <w:qFormat/>
    <w:uiPriority w:val="10"/>
    <w:rPr>
      <w:rFonts w:ascii="Cambria" w:hAnsi="Cambria" w:eastAsia="宋体" w:cs="Times New Roman"/>
      <w:b/>
      <w:bCs/>
      <w:sz w:val="32"/>
      <w:szCs w:val="32"/>
    </w:rPr>
  </w:style>
  <w:style w:type="character" w:customStyle="1" w:styleId="243">
    <w:name w:val="HTML 预设格式 字符"/>
    <w:qFormat/>
    <w:uiPriority w:val="99"/>
    <w:rPr>
      <w:rFonts w:ascii="Courier New" w:hAnsi="Courier New" w:cs="Courier New"/>
      <w:kern w:val="2"/>
    </w:rPr>
  </w:style>
  <w:style w:type="character" w:customStyle="1" w:styleId="244">
    <w:name w:val="HTML 预设格式 Char"/>
    <w:link w:val="54"/>
    <w:qFormat/>
    <w:uiPriority w:val="0"/>
    <w:rPr>
      <w:rFonts w:ascii="黑体" w:hAnsi="Courier New" w:eastAsia="黑体"/>
    </w:rPr>
  </w:style>
  <w:style w:type="paragraph" w:customStyle="1" w:styleId="245">
    <w:name w:val="charcharcharcharcharcharchar1char"/>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46">
    <w:name w:val="Agilent Body Text"/>
    <w:basedOn w:val="1"/>
    <w:qFormat/>
    <w:uiPriority w:val="0"/>
    <w:pPr>
      <w:spacing w:line="260" w:lineRule="exact"/>
    </w:pPr>
    <w:rPr>
      <w:rFonts w:ascii="Agilent TT Cond" w:hAnsi="Agilent TT Cond" w:eastAsia="Times New Roman"/>
      <w:sz w:val="19"/>
    </w:rPr>
  </w:style>
  <w:style w:type="paragraph" w:customStyle="1" w:styleId="247">
    <w:name w:val="彩色列表 - 强调文字颜色 11"/>
    <w:basedOn w:val="1"/>
    <w:qFormat/>
    <w:uiPriority w:val="0"/>
    <w:pPr>
      <w:ind w:firstLine="420" w:firstLineChars="200"/>
    </w:pPr>
  </w:style>
  <w:style w:type="paragraph" w:customStyle="1" w:styleId="248">
    <w:name w:val="defaul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49">
    <w:name w:val="Char Char Char Char Char Char Char Char Char Char"/>
    <w:basedOn w:val="1"/>
    <w:qFormat/>
    <w:uiPriority w:val="0"/>
    <w:rPr>
      <w:rFonts w:ascii="Tahoma" w:hAnsi="Tahoma" w:cs="仿宋_GB2312"/>
      <w:sz w:val="24"/>
    </w:rPr>
  </w:style>
  <w:style w:type="character" w:customStyle="1" w:styleId="250">
    <w:name w:val="副标题 Char1"/>
    <w:qFormat/>
    <w:uiPriority w:val="11"/>
    <w:rPr>
      <w:rFonts w:ascii="Cambria" w:hAnsi="Cambria" w:eastAsia="宋体" w:cs="Times New Roman"/>
      <w:b/>
      <w:bCs/>
      <w:kern w:val="28"/>
      <w:sz w:val="32"/>
      <w:szCs w:val="32"/>
    </w:rPr>
  </w:style>
  <w:style w:type="character" w:customStyle="1" w:styleId="251">
    <w:name w:val="正文文本 Char2"/>
    <w:semiHidden/>
    <w:qFormat/>
    <w:uiPriority w:val="99"/>
  </w:style>
  <w:style w:type="character" w:customStyle="1" w:styleId="252">
    <w:name w:val="批注文字 Char2"/>
    <w:semiHidden/>
    <w:qFormat/>
    <w:uiPriority w:val="99"/>
  </w:style>
  <w:style w:type="paragraph" w:customStyle="1" w:styleId="253">
    <w:name w:val="正文 New"/>
    <w:qFormat/>
    <w:uiPriority w:val="0"/>
    <w:pPr>
      <w:widowControl w:val="0"/>
      <w:jc w:val="both"/>
    </w:pPr>
    <w:rPr>
      <w:rFonts w:ascii="Calibri" w:hAnsi="Calibri" w:eastAsia="宋体" w:cs="宋体"/>
      <w:kern w:val="2"/>
      <w:sz w:val="21"/>
      <w:szCs w:val="24"/>
      <w:lang w:val="en-US" w:eastAsia="zh-CN" w:bidi="ar-SA"/>
    </w:rPr>
  </w:style>
  <w:style w:type="paragraph" w:customStyle="1" w:styleId="254">
    <w:name w:val="Agilent Address Detail"/>
    <w:basedOn w:val="1"/>
    <w:qFormat/>
    <w:uiPriority w:val="0"/>
    <w:pPr>
      <w:spacing w:line="200" w:lineRule="exact"/>
      <w:ind w:right="-90"/>
    </w:pPr>
    <w:rPr>
      <w:rFonts w:ascii="Agilent TT CondLight" w:hAnsi="Agilent TT CondLight" w:eastAsia="Times New Roman"/>
      <w:sz w:val="16"/>
    </w:rPr>
  </w:style>
  <w:style w:type="paragraph" w:customStyle="1" w:styleId="255">
    <w:name w:val="p17"/>
    <w:basedOn w:val="1"/>
    <w:qFormat/>
    <w:uiPriority w:val="0"/>
    <w:pPr>
      <w:widowControl/>
    </w:pPr>
    <w:rPr>
      <w:rFonts w:ascii="Calibri" w:hAnsi="Calibri"/>
      <w:kern w:val="0"/>
      <w:szCs w:val="21"/>
    </w:rPr>
  </w:style>
  <w:style w:type="paragraph" w:customStyle="1" w:styleId="256">
    <w:name w:val="List Paragraph1"/>
    <w:basedOn w:val="1"/>
    <w:qFormat/>
    <w:uiPriority w:val="0"/>
    <w:pPr>
      <w:ind w:firstLine="420" w:firstLineChars="200"/>
    </w:pPr>
    <w:rPr>
      <w:rFonts w:ascii="Calibri" w:hAnsi="Calibri"/>
      <w:szCs w:val="22"/>
    </w:rPr>
  </w:style>
  <w:style w:type="paragraph" w:customStyle="1" w:styleId="257">
    <w:name w:val="Normal_0"/>
    <w:qFormat/>
    <w:uiPriority w:val="0"/>
    <w:pPr>
      <w:spacing w:before="120" w:after="240"/>
      <w:jc w:val="both"/>
    </w:pPr>
    <w:rPr>
      <w:rFonts w:ascii="Calibri" w:hAnsi="Calibri" w:eastAsia="Calibri" w:cs="Times New Roman"/>
      <w:sz w:val="22"/>
      <w:szCs w:val="22"/>
      <w:lang w:val="ru-RU" w:eastAsia="en-US" w:bidi="ar-SA"/>
    </w:rPr>
  </w:style>
  <w:style w:type="paragraph" w:styleId="258">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259">
    <w:name w:val="p16"/>
    <w:basedOn w:val="1"/>
    <w:qFormat/>
    <w:uiPriority w:val="0"/>
    <w:pPr>
      <w:widowControl/>
    </w:pPr>
    <w:rPr>
      <w:rFonts w:ascii="宋体" w:hAnsi="宋体" w:cs="宋体"/>
      <w:kern w:val="0"/>
      <w:sz w:val="28"/>
      <w:szCs w:val="28"/>
    </w:rPr>
  </w:style>
  <w:style w:type="paragraph" w:customStyle="1" w:styleId="260">
    <w:name w:val="newstyle15"/>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61">
    <w:name w:val="列出段落2"/>
    <w:qFormat/>
    <w:uiPriority w:val="34"/>
    <w:pPr>
      <w:ind w:firstLine="420" w:firstLineChars="200"/>
    </w:pPr>
    <w:rPr>
      <w:rFonts w:ascii="Times New Roman" w:hAnsi="Times New Roman" w:eastAsia="宋体" w:cs="Times New Roman"/>
      <w:sz w:val="21"/>
      <w:szCs w:val="22"/>
      <w:lang w:val="en-US" w:eastAsia="zh-CN" w:bidi="ar-SA"/>
    </w:rPr>
  </w:style>
  <w:style w:type="paragraph" w:customStyle="1" w:styleId="262">
    <w:name w:val="No Spacing1"/>
    <w:qFormat/>
    <w:uiPriority w:val="0"/>
    <w:pPr>
      <w:widowControl w:val="0"/>
      <w:jc w:val="both"/>
    </w:pPr>
    <w:rPr>
      <w:rFonts w:ascii="Calibri" w:hAnsi="Calibri" w:eastAsia="宋体" w:cs="Times New Roman"/>
      <w:kern w:val="2"/>
      <w:sz w:val="21"/>
      <w:szCs w:val="22"/>
      <w:lang w:val="en-US" w:eastAsia="zh-CN" w:bidi="ar-SA"/>
    </w:rPr>
  </w:style>
  <w:style w:type="character" w:customStyle="1" w:styleId="263">
    <w:name w:val="列出段落 Char"/>
    <w:link w:val="155"/>
    <w:qFormat/>
    <w:uiPriority w:val="99"/>
    <w:rPr>
      <w:rFonts w:ascii="Calibri" w:hAnsi="Calibri"/>
      <w:kern w:val="2"/>
      <w:sz w:val="21"/>
      <w:szCs w:val="22"/>
    </w:rPr>
  </w:style>
  <w:style w:type="paragraph" w:customStyle="1" w:styleId="264">
    <w:name w:val="正文 New New New New"/>
    <w:qFormat/>
    <w:uiPriority w:val="99"/>
    <w:pPr>
      <w:widowControl w:val="0"/>
      <w:jc w:val="both"/>
    </w:pPr>
    <w:rPr>
      <w:rFonts w:ascii="Times New Roman" w:hAnsi="Times New Roman" w:eastAsia="宋体" w:cs="Times New Roman"/>
      <w:szCs w:val="24"/>
      <w:lang w:val="en-US" w:eastAsia="zh-CN" w:bidi="ar-SA"/>
    </w:rPr>
  </w:style>
  <w:style w:type="character" w:customStyle="1" w:styleId="265">
    <w:name w:val="样式 仿宋_GB2312 小四 加粗 黑色"/>
    <w:qFormat/>
    <w:uiPriority w:val="0"/>
    <w:rPr>
      <w:rFonts w:ascii="仿宋_GB2312" w:eastAsia="仿宋_GB2312"/>
      <w:b/>
      <w:bCs/>
      <w:color w:val="000000"/>
      <w:kern w:val="0"/>
      <w:sz w:val="24"/>
      <w:szCs w:val="24"/>
      <w:lang w:val="en-US" w:eastAsia="zh-CN" w:bidi="ar-SA"/>
    </w:rPr>
  </w:style>
  <w:style w:type="character" w:customStyle="1" w:styleId="266">
    <w:name w:val="oblog_text"/>
    <w:basedOn w:val="58"/>
    <w:qFormat/>
    <w:uiPriority w:val="0"/>
  </w:style>
  <w:style w:type="paragraph" w:customStyle="1" w:styleId="267">
    <w:name w:val="修订1"/>
    <w:hidden/>
    <w:unhideWhenUsed/>
    <w:qFormat/>
    <w:uiPriority w:val="99"/>
    <w:rPr>
      <w:rFonts w:ascii="Times New Roman" w:hAnsi="Times New Roman" w:eastAsia="宋体" w:cs="Times New Roman"/>
      <w:kern w:val="2"/>
      <w:sz w:val="21"/>
      <w:lang w:val="en-US" w:eastAsia="zh-CN" w:bidi="ar-SA"/>
    </w:rPr>
  </w:style>
  <w:style w:type="paragraph" w:customStyle="1" w:styleId="268">
    <w:name w:val="修订2"/>
    <w:hidden/>
    <w:unhideWhenUsed/>
    <w:qFormat/>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8DE375C-2CE1-4C86-BCFD-0BFC46E832C5}">
  <ds:schemaRefs/>
</ds:datastoreItem>
</file>

<file path=docProps/app.xml><?xml version="1.0" encoding="utf-8"?>
<Properties xmlns="http://schemas.openxmlformats.org/officeDocument/2006/extended-properties" xmlns:vt="http://schemas.openxmlformats.org/officeDocument/2006/docPropsVTypes">
  <Template>Normal</Template>
  <Company>安徽鼎信工程咨询管理有限公司</Company>
  <Pages>48</Pages>
  <Words>5099</Words>
  <Characters>29069</Characters>
  <Lines>242</Lines>
  <Paragraphs>68</Paragraphs>
  <TotalTime>0</TotalTime>
  <ScaleCrop>false</ScaleCrop>
  <LinksUpToDate>false</LinksUpToDate>
  <CharactersWithSpaces>34100</CharactersWithSpaces>
  <Application>WPS Office_10.1.0.7245_F1E327BC-269C-435d-A152-05C5408002CA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2017-12-28T02:42:00Z</dcterms:created>
  <dc:creator>Administrator</dc:creator>
  <cp:lastModifiedBy>汪浩扬</cp:lastModifiedBy>
  <cp:lastPrinted>2018-05-09T03:19:00Z</cp:lastPrinted>
  <dcterms:modified xsi:type="dcterms:W3CDTF">2018-05-10T05:55:38Z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2052-10.1.0.7245</vt:lpwstr>
  </property>
</Properties>
</file>